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6C2E"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Arial" w:eastAsia="Calibri" w:hAnsi="Arial" w:cs="Arial"/>
          <w:b/>
          <w:bCs/>
          <w:sz w:val="24"/>
          <w:szCs w:val="24"/>
        </w:rPr>
        <w:t xml:space="preserve">ANEXO F </w:t>
      </w:r>
    </w:p>
    <w:p w14:paraId="41F1F262"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79EC72FD"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7F04487F"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625E2240"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5054E3AA"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63AED89B"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45B8A912"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583AED8E"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67B84E81"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24A8969D"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72A6C027"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02267E13"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19BF5394"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5BF622D8"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p>
    <w:p w14:paraId="0CA38D4B"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Arial" w:eastAsia="Calibri" w:hAnsi="Arial" w:cs="Arial"/>
          <w:b/>
          <w:bCs/>
          <w:sz w:val="24"/>
          <w:szCs w:val="24"/>
        </w:rPr>
        <w:t>DIRETRIZES PARA ELABORAÇÃO DOS FLUXOS DE CAIXA PARA FINS DE REEQUILÍBRIO ECONÔMICO-FINANCEIRO</w:t>
      </w:r>
    </w:p>
    <w:p w14:paraId="79701B08" w14:textId="77777777" w:rsidR="00EE2C48" w:rsidRPr="00693B63" w:rsidRDefault="00EE2C48" w:rsidP="00EE2C48">
      <w:pPr>
        <w:widowControl w:val="0"/>
        <w:autoSpaceDE w:val="0"/>
        <w:autoSpaceDN w:val="0"/>
        <w:spacing w:after="0" w:line="360" w:lineRule="auto"/>
        <w:rPr>
          <w:rFonts w:ascii="Arial" w:eastAsia="Calibri" w:hAnsi="Arial" w:cs="Arial"/>
          <w:b/>
          <w:bCs/>
          <w:sz w:val="24"/>
          <w:szCs w:val="24"/>
        </w:rPr>
      </w:pPr>
      <w:r w:rsidRPr="00693B63">
        <w:rPr>
          <w:rFonts w:ascii="Arial" w:eastAsia="Calibri" w:hAnsi="Arial" w:cs="Arial"/>
          <w:b/>
          <w:bCs/>
          <w:sz w:val="24"/>
          <w:szCs w:val="24"/>
        </w:rPr>
        <w:br w:type="page"/>
      </w:r>
    </w:p>
    <w:p w14:paraId="5CCA093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 </w:t>
      </w:r>
      <w:r w:rsidRPr="00693B63">
        <w:rPr>
          <w:rFonts w:ascii="Arial" w:eastAsia="Calibri" w:hAnsi="Arial" w:cs="Arial"/>
          <w:sz w:val="24"/>
          <w:szCs w:val="24"/>
        </w:rPr>
        <w:tab/>
        <w:t xml:space="preserve">Esse documento tem por objetivo estabelecer as diretrizes gerais para composição do fluxo de caixa anual a ser utilizado em eventos que ensejem a necessidade de reequilíbrio econômico-financeiro do CONTRATO. </w:t>
      </w:r>
    </w:p>
    <w:p w14:paraId="4DD0D1B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As orientações aqui presentes servirão como requisitos obrigatórios mínimos a serem atendidos. </w:t>
      </w:r>
    </w:p>
    <w:p w14:paraId="5F09EC3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estrutura do Fluxo de Caixa deverá conter: </w:t>
      </w:r>
    </w:p>
    <w:p w14:paraId="1AB7BD3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5E1D80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 Receita Operacional Bruta (ROB); </w:t>
      </w:r>
    </w:p>
    <w:p w14:paraId="1428FBC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 Impostos Indiretos (IIN); </w:t>
      </w:r>
    </w:p>
    <w:p w14:paraId="034FD17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 Receita Operacional Líquida (ROL); </w:t>
      </w:r>
    </w:p>
    <w:p w14:paraId="2823A9B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 Inadimplência (INA); </w:t>
      </w:r>
    </w:p>
    <w:p w14:paraId="7B3258A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 Receita Após Inadimplência (RAI); </w:t>
      </w:r>
    </w:p>
    <w:p w14:paraId="5580C01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 Custos de Operação e Manutenção (COM); </w:t>
      </w:r>
    </w:p>
    <w:p w14:paraId="4756D54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7. Despesas Comerciais e Administrativas (DCA); </w:t>
      </w:r>
    </w:p>
    <w:p w14:paraId="6941D0B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 LAJIDA; </w:t>
      </w:r>
    </w:p>
    <w:p w14:paraId="1CF13CA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9. Impostos Diretos (IDI); </w:t>
      </w:r>
    </w:p>
    <w:p w14:paraId="6DB168C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10. Variação da Necessidade de Capital de Giro (VCG); </w:t>
      </w:r>
    </w:p>
    <w:p w14:paraId="4A0E63E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11. Investimentos (INV); </w:t>
      </w:r>
    </w:p>
    <w:p w14:paraId="251B704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 Fluxo de Caixa Operacional (FCO). </w:t>
      </w:r>
    </w:p>
    <w:p w14:paraId="28AE579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362030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Todas as informações deverão abranger a integralidade da ÁREA DE CONCESSÃO e deverão tomar como referência as seguintes fontes de informação, nessa ordem de prioridade: </w:t>
      </w:r>
    </w:p>
    <w:p w14:paraId="221A397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31A9C7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 Dados históricos da própria CONCESSIONÁRIA; </w:t>
      </w:r>
    </w:p>
    <w:p w14:paraId="0EF130B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roofErr w:type="spellStart"/>
      <w:r w:rsidRPr="00693B63">
        <w:rPr>
          <w:rFonts w:ascii="Arial" w:eastAsia="Calibri" w:hAnsi="Arial" w:cs="Arial"/>
          <w:sz w:val="24"/>
          <w:szCs w:val="24"/>
        </w:rPr>
        <w:t>ii</w:t>
      </w:r>
      <w:proofErr w:type="spellEnd"/>
      <w:r w:rsidRPr="00693B63">
        <w:rPr>
          <w:rFonts w:ascii="Arial" w:eastAsia="Calibri" w:hAnsi="Arial" w:cs="Arial"/>
          <w:sz w:val="24"/>
          <w:szCs w:val="24"/>
        </w:rPr>
        <w:t xml:space="preserve">. Caso não existam dados históricos da CONCESSIONÁRIA, e somente neste caso, dados oficiais públicos de instituições amplamente reconhecidas; </w:t>
      </w:r>
    </w:p>
    <w:p w14:paraId="55E77C4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roofErr w:type="spellStart"/>
      <w:r w:rsidRPr="00693B63">
        <w:rPr>
          <w:rFonts w:ascii="Arial" w:eastAsia="Calibri" w:hAnsi="Arial" w:cs="Arial"/>
          <w:sz w:val="24"/>
          <w:szCs w:val="24"/>
        </w:rPr>
        <w:t>iii</w:t>
      </w:r>
      <w:proofErr w:type="spellEnd"/>
      <w:r w:rsidRPr="00693B63">
        <w:rPr>
          <w:rFonts w:ascii="Arial" w:eastAsia="Calibri" w:hAnsi="Arial" w:cs="Arial"/>
          <w:sz w:val="24"/>
          <w:szCs w:val="24"/>
        </w:rPr>
        <w:t xml:space="preserve">. E, por último, se os dois primeiros não existirem, dados históricos da </w:t>
      </w:r>
      <w:r>
        <w:rPr>
          <w:rFonts w:ascii="Arial" w:eastAsia="Calibri" w:hAnsi="Arial" w:cs="Arial"/>
          <w:sz w:val="24"/>
          <w:szCs w:val="24"/>
        </w:rPr>
        <w:t>CORSAN</w:t>
      </w:r>
      <w:r w:rsidRPr="00693B63">
        <w:rPr>
          <w:rFonts w:ascii="Arial" w:eastAsia="Calibri" w:hAnsi="Arial" w:cs="Arial"/>
          <w:sz w:val="24"/>
          <w:szCs w:val="24"/>
        </w:rPr>
        <w:t xml:space="preserve">, se aplicáveis. </w:t>
      </w:r>
    </w:p>
    <w:p w14:paraId="2C97A3C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073106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anos anteriores à data da análise do pleito de reequilíbrio, deverão ser utilizados os dados efetivamente medidos pela CONCESSIONÁRIA. Para anos </w:t>
      </w:r>
      <w:r w:rsidRPr="00693B63">
        <w:rPr>
          <w:rFonts w:ascii="Arial" w:eastAsia="Calibri" w:hAnsi="Arial" w:cs="Arial"/>
          <w:sz w:val="24"/>
          <w:szCs w:val="24"/>
        </w:rPr>
        <w:lastRenderedPageBreak/>
        <w:t xml:space="preserve">posteriores à data da análise do pleito de reequilíbrio, deverão ser consideradas projeções, conforme as regras aqui estabelecidas. </w:t>
      </w:r>
    </w:p>
    <w:p w14:paraId="694892E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Caso algum índice ou fonte oficial mencionado neste Anexo deixe de existir, deverá ser substituído pelo índice ou fonte equivalente que venha a substituí-los. </w:t>
      </w:r>
    </w:p>
    <w:p w14:paraId="2038D28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O Fluxo de Caixa deverá ser elaborado em base real, com data-base do EVTE. Para dados com data-base posterior ao EVTE, os valores deverão ser ajustados de acordo com os índices pré-estabelecidos neste Anexo.</w:t>
      </w:r>
    </w:p>
    <w:p w14:paraId="3EF175B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p>
    <w:p w14:paraId="503E8E5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 </w:t>
      </w:r>
      <w:r w:rsidRPr="00693B63">
        <w:rPr>
          <w:rFonts w:ascii="Arial" w:eastAsia="Calibri" w:hAnsi="Arial" w:cs="Arial"/>
          <w:b/>
          <w:bCs/>
          <w:sz w:val="24"/>
          <w:szCs w:val="24"/>
        </w:rPr>
        <w:tab/>
        <w:t xml:space="preserve">Receita Operacional Bruta (ROB) </w:t>
      </w:r>
    </w:p>
    <w:p w14:paraId="0AE70EF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D3633D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cálculo da Receita Operacional Bruta, será necessário apresentar as projeções das seguintes informações ao longo da vigência do CONTRATO: </w:t>
      </w:r>
    </w:p>
    <w:p w14:paraId="03704AC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5F07AB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 Número de economias potenciais na ÁREA DE CONCESSÃO - ECP; </w:t>
      </w:r>
    </w:p>
    <w:p w14:paraId="759FDB6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 Índice de atendimento de água (%) - IAA; </w:t>
      </w:r>
    </w:p>
    <w:p w14:paraId="10B1B97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 Distribuição das economias nas seguintes categorias: Tarifa Social, </w:t>
      </w:r>
      <w:proofErr w:type="gramStart"/>
      <w:r w:rsidRPr="00693B63">
        <w:rPr>
          <w:rFonts w:ascii="Arial" w:eastAsia="Calibri" w:hAnsi="Arial" w:cs="Arial"/>
          <w:sz w:val="24"/>
          <w:szCs w:val="24"/>
        </w:rPr>
        <w:t>Residencial</w:t>
      </w:r>
      <w:proofErr w:type="gramEnd"/>
      <w:r w:rsidRPr="00693B63">
        <w:rPr>
          <w:rFonts w:ascii="Arial" w:eastAsia="Calibri" w:hAnsi="Arial" w:cs="Arial"/>
          <w:sz w:val="24"/>
          <w:szCs w:val="24"/>
        </w:rPr>
        <w:t xml:space="preserve"> sem Tarifa Social e Não Residencial (%); </w:t>
      </w:r>
    </w:p>
    <w:p w14:paraId="0D25E8F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 Tarifa média de água para cada uma das categorias (R$/m³) - TMA; </w:t>
      </w:r>
    </w:p>
    <w:p w14:paraId="026755E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 Volume médio faturado de água para cada uma das categorias (m³/economia/mês) - VMA; </w:t>
      </w:r>
    </w:p>
    <w:p w14:paraId="5157304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 Índice de atendimento de esgoto (%) - IAE; </w:t>
      </w:r>
    </w:p>
    <w:p w14:paraId="18E4A1F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7. Relação entre a tarifa de esgoto e a tarifa de água para cada categoria - RAE; </w:t>
      </w:r>
    </w:p>
    <w:p w14:paraId="1627313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 Percentual de receita indireta em relação à receita direta (%) - IND; </w:t>
      </w:r>
    </w:p>
    <w:p w14:paraId="7898D23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9. Percentual de receita financeira em relação à receita direta (%) - FIN. </w:t>
      </w:r>
    </w:p>
    <w:p w14:paraId="19C4844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312A58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de Economias Potenciais (ECP) na ÁREA DE CONCESSÃO será obtido através do cadastro da CONCESSIONÁRIA e sua projeção será calculada utilizando-se a mesma taxa de crescimento prevista na projeção dos Estudos de Viabilidade que antecederam a LICITAÇÃO. </w:t>
      </w:r>
    </w:p>
    <w:p w14:paraId="1D6505C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de Economias de Água (ECA) será obtido através do produto entre o número de Economias Potenciais (ECP) e o Índice de Atendimento de Água (IAA). </w:t>
      </w:r>
    </w:p>
    <w:p w14:paraId="479CA0E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ED59B6D"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lastRenderedPageBreak/>
        <w:t>𝐸𝐶𝐴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𝐸𝐶𝑃</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𝐼𝐴𝐴</w:t>
      </w:r>
    </w:p>
    <w:p w14:paraId="43B898D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BCB32D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Em caso de alterações que impactem nas metas do Índice de Atendimento de Água, sua projeção futura deverá ser proporcional à curva prevista no ANEXO D do CONTRATO, ou seja, com as mesmas taxas de variação anuais definidas, exceto caso a própria meta do índice de atendimento de água seja o objeto do reequilíbrio, situação na qual seus valores futuros serão considerados conforme o pleito. </w:t>
      </w:r>
    </w:p>
    <w:p w14:paraId="5D6A1C5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total de economias de água deverá ser estratificado conforme distribuição por categoria: Tarifa Social, </w:t>
      </w:r>
      <w:proofErr w:type="gramStart"/>
      <w:r w:rsidRPr="00693B63">
        <w:rPr>
          <w:rFonts w:ascii="Arial" w:eastAsia="Calibri" w:hAnsi="Arial" w:cs="Arial"/>
          <w:sz w:val="24"/>
          <w:szCs w:val="24"/>
        </w:rPr>
        <w:t>Residencial</w:t>
      </w:r>
      <w:proofErr w:type="gramEnd"/>
      <w:r w:rsidRPr="00693B63">
        <w:rPr>
          <w:rFonts w:ascii="Arial" w:eastAsia="Calibri" w:hAnsi="Arial" w:cs="Arial"/>
          <w:sz w:val="24"/>
          <w:szCs w:val="24"/>
        </w:rPr>
        <w:t xml:space="preserve"> sem Tarifa Social e Não Residencial, sendo essa distribuição mantida constante e igual aos últimos dados disponíveis para projeções futuras. </w:t>
      </w:r>
    </w:p>
    <w:p w14:paraId="4ACD7B2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Receita Mensal Direta de Água (RDA) será obtida pelo produto entre o número de Economias de Água, o Volume Médio Faturado de Água (VMA) e a Tarifa Média de Água (TMA), para cada uma das categorias. </w:t>
      </w:r>
    </w:p>
    <w:p w14:paraId="47FABA0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8BF41C2"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𝐸𝐶𝐴</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𝑉𝑀𝐴</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𝑇𝑀𝐴</w:t>
      </w:r>
    </w:p>
    <w:p w14:paraId="5C4A978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34A4E19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a tarifa média de água será mantida constante em termos reais, com data-base do EVTE, isto é, sendo igual ao último dado disponível. </w:t>
      </w:r>
    </w:p>
    <w:p w14:paraId="346FA19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projeção futura de volume médio faturado de água, por sua vez, será mantida constante e igual à média aritmética dos dados dos 3 anos mais recentes disponíveis. </w:t>
      </w:r>
    </w:p>
    <w:p w14:paraId="3996229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Caso a CONCESSÃO esteja vigente a menos de 3 anos, deverão ser utilizadas as projeções de receita direta de água e esgoto constantes do EVTE. Caso uma das PARTES queira utilizar uma projeção diversa, deverá fundamentar tecnicamente essa utilização, cabendo à ENTIDADE REGULADORA E FISCALIZADORA acatar ou não a utilização dessa alternativa. </w:t>
      </w:r>
    </w:p>
    <w:p w14:paraId="4FBA292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total de Economias de Esgoto (ECE), por sua vez, será calculado através do produto entre o número de Economias Potenciais (ECP) e o Índice de Atendimento de Esgoto (IAE). </w:t>
      </w:r>
    </w:p>
    <w:p w14:paraId="33C9109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38E2169"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𝐸𝐶𝐸</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𝐸𝐶𝑃</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𝐼𝐴𝐸</w:t>
      </w:r>
    </w:p>
    <w:p w14:paraId="3EA4879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8F2B2E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 </w:t>
      </w:r>
      <w:r w:rsidRPr="00693B63">
        <w:rPr>
          <w:rFonts w:ascii="Arial" w:eastAsia="Calibri" w:hAnsi="Arial" w:cs="Arial"/>
          <w:sz w:val="24"/>
          <w:szCs w:val="24"/>
        </w:rPr>
        <w:tab/>
        <w:t xml:space="preserve">Em caso de alterações que impactem na meta do índice de atendimento de esgoto, sua projeção futura deverá ser proporcional à curva prevista no Anexo D do CONTRATO, ou seja, com as mesmas taxas de variação anuais definidas, exceto caso a própria meta do índice de atendimento de esgoto seja o objeto do reequilíbrio, situação na qual seus valores futuros serão considerados conforme o pleito. </w:t>
      </w:r>
    </w:p>
    <w:p w14:paraId="21C5215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total de economias de esgoto deverá ser estratificado conforme distribuição por categoria: Tarifa Social, </w:t>
      </w:r>
      <w:proofErr w:type="gramStart"/>
      <w:r w:rsidRPr="00693B63">
        <w:rPr>
          <w:rFonts w:ascii="Arial" w:eastAsia="Calibri" w:hAnsi="Arial" w:cs="Arial"/>
          <w:sz w:val="24"/>
          <w:szCs w:val="24"/>
        </w:rPr>
        <w:t>Residencial</w:t>
      </w:r>
      <w:proofErr w:type="gramEnd"/>
      <w:r w:rsidRPr="00693B63">
        <w:rPr>
          <w:rFonts w:ascii="Arial" w:eastAsia="Calibri" w:hAnsi="Arial" w:cs="Arial"/>
          <w:sz w:val="24"/>
          <w:szCs w:val="24"/>
        </w:rPr>
        <w:t xml:space="preserve"> sem Tarifa Social e Não Residencial, sendo essa distribuição mantida constante e igual aos últimos dados disponíveis para projeções futuras. </w:t>
      </w:r>
    </w:p>
    <w:p w14:paraId="229D5BB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Receita Mensal Direta de Esgoto (RDE) será obtida pelo produto entre o número de economias de esgoto, o volume médio faturado de água, a tarifa média de água e a relação entre a tarifa de esgoto e a tarifa de água, para cada categoria. A RAE aplicável será mantida constante para projeções futuras. </w:t>
      </w:r>
    </w:p>
    <w:p w14:paraId="09D3D25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E395E86"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𝑅𝐷𝐸</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𝐸𝐶𝐸</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𝑉𝑀𝐴</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𝑇𝑀𝐴</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𝑅𝐴𝐸</w:t>
      </w:r>
    </w:p>
    <w:p w14:paraId="19EC0B6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F7D53C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Receita Indireta (RIN) será obtida pelo produto entre a receita direta total, somando-se água e esgoto, e o percentual de receita indireta em relação à receita direta. </w:t>
      </w:r>
    </w:p>
    <w:p w14:paraId="560363A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B125175"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𝑅𝐼𝑁</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𝐼𝑁𝐷</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𝑅𝐷𝐴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𝑅𝐷𝐸</w:t>
      </w:r>
      <w:r w:rsidRPr="00693B63">
        <w:rPr>
          <w:rFonts w:ascii="Arial" w:eastAsia="Calibri" w:hAnsi="Arial" w:cs="Arial"/>
          <w:b/>
          <w:bCs/>
          <w:sz w:val="24"/>
          <w:szCs w:val="24"/>
        </w:rPr>
        <w:t>)</w:t>
      </w:r>
    </w:p>
    <w:p w14:paraId="68CBEF4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2A6BD8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Receita Financeira (RFI) será obtida pelo produto entre a receita direta total, somando-se água e esgoto, e o percentual de receita financeira em relação à receita direta. </w:t>
      </w:r>
    </w:p>
    <w:p w14:paraId="01C2866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EAA7EC6"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𝑅𝐹𝐼</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𝐹𝐼𝑁</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𝑅𝐷𝐴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𝑅𝐷𝐸</w:t>
      </w:r>
      <w:r w:rsidRPr="00693B63">
        <w:rPr>
          <w:rFonts w:ascii="Arial" w:eastAsia="Calibri" w:hAnsi="Arial" w:cs="Arial"/>
          <w:b/>
          <w:bCs/>
          <w:sz w:val="24"/>
          <w:szCs w:val="24"/>
        </w:rPr>
        <w:t>)</w:t>
      </w:r>
    </w:p>
    <w:p w14:paraId="0DCE409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3C91608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projeção futura dos percentuais de receita indireta e receita financeira serão mantidas constante e iguais às suas respectivas médias aritméticas dos dados dos 3 anos mais recentes disponíveis. Caso a CONCESSÃO esteja vigente a menos de 3 anos, deverão ser utilizadas as projeções constantes do EVTE. Caso uma das </w:t>
      </w:r>
      <w:r w:rsidRPr="00693B63">
        <w:rPr>
          <w:rFonts w:ascii="Arial" w:eastAsia="Calibri" w:hAnsi="Arial" w:cs="Arial"/>
          <w:sz w:val="24"/>
          <w:szCs w:val="24"/>
        </w:rPr>
        <w:lastRenderedPageBreak/>
        <w:t xml:space="preserve">PARTES queira utilizar uma projeção diversa, deverá fundamentar tecnicamente essa utilização, cabendo à ENTIDADE REGULADORA E FISCALIZADORA acatar ou não a utilização dessa alternativa. </w:t>
      </w:r>
    </w:p>
    <w:p w14:paraId="3030522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Por fim, a receita operacional bruta será a soma entre as receitas diretas de água e esgoto, a receita indireta e a receita financeira. </w:t>
      </w:r>
    </w:p>
    <w:p w14:paraId="48CBECA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24341CC"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𝑅𝑂𝐵</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𝑅𝐷𝐸</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𝑅𝐼𝑁</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𝑅𝐹𝐼</w:t>
      </w:r>
    </w:p>
    <w:p w14:paraId="79401B9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 </w:t>
      </w:r>
    </w:p>
    <w:p w14:paraId="2B6FE3C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2. </w:t>
      </w:r>
      <w:r w:rsidRPr="00693B63">
        <w:rPr>
          <w:rFonts w:ascii="Arial" w:eastAsia="Calibri" w:hAnsi="Arial" w:cs="Arial"/>
          <w:b/>
          <w:bCs/>
          <w:sz w:val="24"/>
          <w:szCs w:val="24"/>
        </w:rPr>
        <w:tab/>
        <w:t xml:space="preserve">Impostos Indiretos (IIN) </w:t>
      </w:r>
    </w:p>
    <w:p w14:paraId="7E80F98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34F122B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Deverão ser considerados todos os impostos indiretos sobre a receita conforme legislação aplicável. </w:t>
      </w:r>
    </w:p>
    <w:p w14:paraId="21CD470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montante de impostos indiretos será calculado através da aplicação das respectivas alíquotas sobre a receita operacional bruta do empreendimento. </w:t>
      </w:r>
    </w:p>
    <w:p w14:paraId="5B29D59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Deverão ser considerados também os créditos tributários pertinentes à execução dos serviços conforme regramento da Receita Federal. </w:t>
      </w:r>
    </w:p>
    <w:p w14:paraId="6EF4E99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44B1FB8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3. </w:t>
      </w:r>
      <w:r w:rsidRPr="00693B63">
        <w:rPr>
          <w:rFonts w:ascii="Arial" w:eastAsia="Calibri" w:hAnsi="Arial" w:cs="Arial"/>
          <w:b/>
          <w:bCs/>
          <w:sz w:val="24"/>
          <w:szCs w:val="24"/>
        </w:rPr>
        <w:tab/>
        <w:t xml:space="preserve">Receita Operacional Líquida (ROL) </w:t>
      </w:r>
    </w:p>
    <w:p w14:paraId="7B0A5FC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80A107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Será a diferença entre a receita operacional bruta e os impostos indiretos. </w:t>
      </w:r>
    </w:p>
    <w:p w14:paraId="1525984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E503588"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𝑅𝑂𝐿</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𝑅𝑂𝐵</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𝐼𝐼𝑁</w:t>
      </w:r>
    </w:p>
    <w:p w14:paraId="46229CC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38E4D66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4. </w:t>
      </w:r>
      <w:r w:rsidRPr="00693B63">
        <w:rPr>
          <w:rFonts w:ascii="Arial" w:eastAsia="Calibri" w:hAnsi="Arial" w:cs="Arial"/>
          <w:b/>
          <w:bCs/>
          <w:sz w:val="24"/>
          <w:szCs w:val="24"/>
        </w:rPr>
        <w:tab/>
        <w:t xml:space="preserve">Inadimplência (INA) </w:t>
      </w:r>
    </w:p>
    <w:p w14:paraId="3E0321E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937D8D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percentual de inadimplência (PIN) representa o percentual da receita operacional bruta que é faturado, porém não efetivamente recebido. </w:t>
      </w:r>
    </w:p>
    <w:p w14:paraId="0E86354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montante será calculado através do produto entre a receita operacional bruta e o percentual de inadimplência. </w:t>
      </w:r>
    </w:p>
    <w:p w14:paraId="4DB6ACB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da inadimplência, deverá ser proporcional à curva prevista no EVTE, ou seja, com as mesmas taxas de variação anuais definidas, não podendo a projeção ser inferior ao limite mínimo de inadimplência projetado no EVTE. </w:t>
      </w:r>
    </w:p>
    <w:p w14:paraId="740D1D6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362EF83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5. </w:t>
      </w:r>
      <w:r w:rsidRPr="00693B63">
        <w:rPr>
          <w:rFonts w:ascii="Arial" w:eastAsia="Calibri" w:hAnsi="Arial" w:cs="Arial"/>
          <w:b/>
          <w:bCs/>
          <w:sz w:val="24"/>
          <w:szCs w:val="24"/>
        </w:rPr>
        <w:tab/>
        <w:t xml:space="preserve">Receita Após Inadimplência (RAI) </w:t>
      </w:r>
    </w:p>
    <w:p w14:paraId="42F4A47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3E55CD8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É a diferença entre a receita operacional líquida e a inadimplência. </w:t>
      </w:r>
    </w:p>
    <w:p w14:paraId="7CB9C61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DF2818D"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𝑅𝐴𝐼</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𝑅𝑂𝐿</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𝐼𝑁𝐴</w:t>
      </w:r>
    </w:p>
    <w:p w14:paraId="5B610CC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3535548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 </w:t>
      </w:r>
      <w:r w:rsidRPr="00693B63">
        <w:rPr>
          <w:rFonts w:ascii="Arial" w:eastAsia="Calibri" w:hAnsi="Arial" w:cs="Arial"/>
          <w:b/>
          <w:bCs/>
          <w:sz w:val="24"/>
          <w:szCs w:val="24"/>
        </w:rPr>
        <w:tab/>
        <w:t xml:space="preserve">Custos de Operação e Manutenção (COM) </w:t>
      </w:r>
    </w:p>
    <w:p w14:paraId="59F8145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D30EC8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Os Custos de Operação e Manutenção (O&amp;M) deverão ser segmentados nas seguintes categorias: </w:t>
      </w:r>
    </w:p>
    <w:p w14:paraId="78EFB7B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F68915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 Custo com energia elétrica (R$/mês) - CEE; </w:t>
      </w:r>
    </w:p>
    <w:p w14:paraId="099BD18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II. Custo com mão de obra operacional (R$/mês) - CMO; </w:t>
      </w:r>
    </w:p>
    <w:p w14:paraId="39C2009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III. Custo com produtos químicos (R$/mês) - CPQ; </w:t>
      </w:r>
    </w:p>
    <w:p w14:paraId="629E2EF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IV. Custo com destinação de lodo (R$/mês) - CDL; </w:t>
      </w:r>
    </w:p>
    <w:p w14:paraId="697CD92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V. Custo com análises laboratoriais(R$/mês) - CAL; </w:t>
      </w:r>
    </w:p>
    <w:p w14:paraId="75A4819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VI. Custos com manutenção (R$/mês) - CMA; </w:t>
      </w:r>
    </w:p>
    <w:p w14:paraId="430B78E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VII. Custos com veículos operacionais (R$/mês) - CVO; e </w:t>
      </w:r>
    </w:p>
    <w:p w14:paraId="2A2B39F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VIII. Outros custos operacionais (R$/mês) - OCO. </w:t>
      </w:r>
    </w:p>
    <w:p w14:paraId="575BD46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8F16B08"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𝐶𝑂𝑀</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𝐶𝐸𝐸</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𝐶𝑀𝑂</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𝐶𝑃𝑄</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𝐶𝐷𝐿</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𝐶𝐴𝐿</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𝐶𝑀𝐴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𝐶𝑉𝑂</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𝑂𝐶𝑂</w:t>
      </w:r>
    </w:p>
    <w:p w14:paraId="60A4016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ED68AB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Os itens de custo, sempre que possível e aplicável, deverão estar segregados para água e esgoto e, quando tal segregação não estiver explícita na estrutura operacional, deverá ser feita alocação proporcional conforme critério estabelecido pela CONCESSIONÁRIA. </w:t>
      </w:r>
    </w:p>
    <w:p w14:paraId="5793333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Os itens deverão estar relacionados a uma entre as possíveis seguintes métricas: volume de água consumido por mês pelos usuários, número de ligações de água ou número de ligações de esgoto. </w:t>
      </w:r>
    </w:p>
    <w:p w14:paraId="452198E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volume de água consumido por mês pelos usuários (VAC) deverá ser obtido a partir do histórico da CONCESSIONÁRIA e projetado tomando-se por base as metas </w:t>
      </w:r>
      <w:r w:rsidRPr="00693B63">
        <w:rPr>
          <w:rFonts w:ascii="Arial" w:eastAsia="Calibri" w:hAnsi="Arial" w:cs="Arial"/>
          <w:sz w:val="24"/>
          <w:szCs w:val="24"/>
        </w:rPr>
        <w:lastRenderedPageBreak/>
        <w:t xml:space="preserve">de atendimento e a projeção oficial mais recente à época da análise de reequilíbrio divulgada pelo Instituto Brasileiro de Geografia e Estatística (IBGE) para o MUNICÍPIO, se disponível, ou para o Estado de Santa Catarina, caso a anterior não exista. </w:t>
      </w:r>
    </w:p>
    <w:p w14:paraId="34F4C04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número de ligações de água (NLA) deverá ser calculado a partir do produto do número de economias de água por um índice que relacione a quantidade de economias por ligação (IEL). </w:t>
      </w:r>
    </w:p>
    <w:p w14:paraId="2C8100C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C082A89"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𝑁𝐿𝐴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𝐸𝐶𝐴</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𝐼𝐸𝐿</w:t>
      </w:r>
    </w:p>
    <w:p w14:paraId="1054ABD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B519B3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Similarmente, o número de ligações de esgoto (NLE) deverá ser calculado a partir do produto do número de economias de esgoto (ECE) pelo mesmo índice que relaciona a quantidade de economias por ligação (IEL). </w:t>
      </w:r>
    </w:p>
    <w:p w14:paraId="24BB8E3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A4B2DD7"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𝑁𝐿𝐸</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𝐸𝐶𝐸</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w:t>
      </w:r>
      <w:r w:rsidRPr="00693B63">
        <w:rPr>
          <w:rFonts w:ascii="Arial" w:eastAsia="Calibri" w:hAnsi="Arial" w:cs="Arial"/>
          <w:b/>
          <w:bCs/>
          <w:sz w:val="24"/>
          <w:szCs w:val="24"/>
        </w:rPr>
        <w:t xml:space="preserve"> </w:t>
      </w:r>
      <w:r w:rsidRPr="00693B63">
        <w:rPr>
          <w:rFonts w:ascii="Cambria Math" w:eastAsia="Calibri" w:hAnsi="Cambria Math" w:cs="Cambria Math"/>
          <w:b/>
          <w:bCs/>
          <w:sz w:val="24"/>
          <w:szCs w:val="24"/>
        </w:rPr>
        <w:t>𝐼𝐸𝐿</w:t>
      </w:r>
    </w:p>
    <w:p w14:paraId="412A7FD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1677938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projeção futura, o índice de economias por ligação (IEL) será mantido constante e igual ao dado mais recente disponível para a ÁREA DE CONCESSÃO. </w:t>
      </w:r>
    </w:p>
    <w:p w14:paraId="0462966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52FCAE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6.1. </w:t>
      </w:r>
      <w:r w:rsidRPr="00693B63">
        <w:rPr>
          <w:rFonts w:ascii="Arial" w:eastAsia="Calibri" w:hAnsi="Arial" w:cs="Arial"/>
          <w:b/>
          <w:bCs/>
          <w:sz w:val="24"/>
          <w:szCs w:val="24"/>
        </w:rPr>
        <w:tab/>
        <w:t xml:space="preserve">Custo com Energia Elétrica (CEE) </w:t>
      </w:r>
    </w:p>
    <w:p w14:paraId="2587B43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21999F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Custo com Energia Elétrica (CEE) será obtido a partir do produto entre o consumo médio de energia elétrica da CONCESSIONÁRIA, em kWh/mês, e o preço praticado pela Concessionária de energia elétrica, em R$/kWh. </w:t>
      </w:r>
    </w:p>
    <w:p w14:paraId="0B3384F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consumo médio de energia elétrica em kWh/mês deverá ser obtido a partir da quantidade de energia elétrica consumida para produzir 1 m³ de água consumida e a quantidade de energia elétrica consumida para tratar 1 m³ de esgoto produzido. </w:t>
      </w:r>
    </w:p>
    <w:p w14:paraId="528116C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preço praticado pela Concessionária de energia elétrica, em R$/kWh, será mantido constante em termos reais, isto é, sendo igual ao último dado disponível. </w:t>
      </w:r>
    </w:p>
    <w:p w14:paraId="3D54A83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3C6157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6.2. </w:t>
      </w:r>
      <w:r w:rsidRPr="00693B63">
        <w:rPr>
          <w:rFonts w:ascii="Arial" w:eastAsia="Calibri" w:hAnsi="Arial" w:cs="Arial"/>
          <w:b/>
          <w:bCs/>
          <w:sz w:val="24"/>
          <w:szCs w:val="24"/>
        </w:rPr>
        <w:tab/>
        <w:t xml:space="preserve">Custo com Mão de Obra Operacional (CMO) </w:t>
      </w:r>
    </w:p>
    <w:p w14:paraId="1132DED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79A7DD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Custo com Mão de Obra Operacional (CMO) deverá ser segregado em Mão de Obra de Operação e Mão de Obra de Manutenção. </w:t>
      </w:r>
    </w:p>
    <w:p w14:paraId="2CDAAEB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Partindo-se da premissa do número de ligações por funcionário para cada uma das áreas (Operação e Manutenção), procede-se a multiplicação pelo número de ligações obtendo-se a quantidade de funcionários que, por sua vez, deverá ser multiplicada pelo custo médio por funcionário, também segregado por área, em R$/funcionário/mês. </w:t>
      </w:r>
    </w:p>
    <w:p w14:paraId="5C6DAE3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se o evento de reequilíbrio acorrer nos 10 (dez) primeiros anos da CONCESSÃO, aplicam-se os custos projetados do EVTE. Se o evento ocorrer do 11º (décimo primeiro) ano em diante, o custo médio por funcionário de cada área, em R$/funcionário/mês, será mantido constante em termos reais, isto é, sendo igual ao último dado disponível. </w:t>
      </w:r>
    </w:p>
    <w:p w14:paraId="76C1915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AF12E6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6.3. </w:t>
      </w:r>
      <w:r w:rsidRPr="00693B63">
        <w:rPr>
          <w:rFonts w:ascii="Arial" w:eastAsia="Calibri" w:hAnsi="Arial" w:cs="Arial"/>
          <w:b/>
          <w:bCs/>
          <w:sz w:val="24"/>
          <w:szCs w:val="24"/>
        </w:rPr>
        <w:tab/>
        <w:t>Custo com Produtos Químicos (CPQ)</w:t>
      </w:r>
    </w:p>
    <w:p w14:paraId="118F605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46EF75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Deverá ser fornecida a quantidade de cada produto químico utilizado na produção de 1 m³ de água consumida e a quantidade de produto químico utilizado para tratar 1 m³ de esgoto produzido. </w:t>
      </w:r>
    </w:p>
    <w:p w14:paraId="70139E5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Esses valores deverão ser multiplicados pelos respectivos preços dos produtos químicos, em R$/un., e pelo volume de água consumida e pelo volume de esgoto produzido, em m³/mês. O Custo com Produtos Químicos (CPQ) será a soma de todos os custos individuais de cada produto químico. </w:t>
      </w:r>
    </w:p>
    <w:p w14:paraId="3BAF6D3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os preços dos produtos químicos, em R$/un., serão mantidos constantes em termos reais, isto é, sendo iguais aos últimos dados disponíveis. </w:t>
      </w:r>
    </w:p>
    <w:p w14:paraId="53FDB49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Já as quantidades de produtos químicos consumidas, em un./m³, para períodos futuros serão mantidas constante e iguais às médias aritméticas dos respectivos dados dos 3 anos mais recentes disponíveis. </w:t>
      </w:r>
    </w:p>
    <w:p w14:paraId="4704F37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3FE1A4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6.4.</w:t>
      </w:r>
      <w:r w:rsidRPr="00693B63">
        <w:rPr>
          <w:rFonts w:ascii="Arial" w:eastAsia="Calibri" w:hAnsi="Arial" w:cs="Arial"/>
          <w:b/>
          <w:bCs/>
          <w:sz w:val="24"/>
          <w:szCs w:val="24"/>
        </w:rPr>
        <w:tab/>
        <w:t xml:space="preserve">Custo com Destinação de Lodo (CDL) </w:t>
      </w:r>
    </w:p>
    <w:p w14:paraId="664369D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340389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 </w:t>
      </w:r>
      <w:r w:rsidRPr="00693B63">
        <w:rPr>
          <w:rFonts w:ascii="Arial" w:eastAsia="Calibri" w:hAnsi="Arial" w:cs="Arial"/>
          <w:sz w:val="24"/>
          <w:szCs w:val="24"/>
        </w:rPr>
        <w:tab/>
        <w:t xml:space="preserve">Caso a CONCESSÃO esteja vigente </w:t>
      </w:r>
      <w:r>
        <w:rPr>
          <w:rFonts w:ascii="Arial" w:eastAsia="Calibri" w:hAnsi="Arial" w:cs="Arial"/>
          <w:sz w:val="24"/>
          <w:szCs w:val="24"/>
        </w:rPr>
        <w:t>há</w:t>
      </w:r>
      <w:r w:rsidRPr="00693B63">
        <w:rPr>
          <w:rFonts w:ascii="Arial" w:eastAsia="Calibri" w:hAnsi="Arial" w:cs="Arial"/>
          <w:sz w:val="24"/>
          <w:szCs w:val="24"/>
        </w:rPr>
        <w:t xml:space="preserve"> menos de 3 anos, deverão ser utilizadas as projeções constantes do EVTE. Caso uma das PARTES queira utilizar uma projeção diversa, deverá fundamentar tecnicamente essa utilização, cabendo à ENTIDADE REGULADORA E FISCALIZADORA acatar ou não a utilização dessa alternativa. </w:t>
      </w:r>
    </w:p>
    <w:p w14:paraId="11C7F0B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Deverá ser calculada a quantidade de lodo, em kg (ou toneladas), gerada por cada 1 m³ de água consumida e gerada por cada por cada 1 m³ de esgoto produzido. Essa quantidade será multiplicada pelo custo de transporte e destinação, em R$/kg ou R$/t, e pelos volumes de água consumida e de esgoto produzido, em m³/mês, a fim de se obter o Custo com Destinação de Lodo (CDL). </w:t>
      </w:r>
    </w:p>
    <w:p w14:paraId="3E6B747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custo de transporte e destinação de lodo, em R$/kg ou R$/t, será mantido constante em termos reais, isto é, sendo igual ao último dado disponível. </w:t>
      </w:r>
    </w:p>
    <w:p w14:paraId="3B6042C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Já a quantidade de lodo gerada, em kg/m³ ou t/m³, para períodos futuros será mantida constante e igual à média aritmética dos dados dos 3 anos mais recentes disponíveis. </w:t>
      </w:r>
    </w:p>
    <w:p w14:paraId="76EF0A6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B6E4AF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6.5. </w:t>
      </w:r>
      <w:r w:rsidRPr="00693B63">
        <w:rPr>
          <w:rFonts w:ascii="Arial" w:eastAsia="Calibri" w:hAnsi="Arial" w:cs="Arial"/>
          <w:b/>
          <w:bCs/>
          <w:sz w:val="24"/>
          <w:szCs w:val="24"/>
        </w:rPr>
        <w:tab/>
        <w:t xml:space="preserve">Custo com Análises Laboratoriais (CAL) </w:t>
      </w:r>
    </w:p>
    <w:p w14:paraId="613F894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D82399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Caso a CONCESSÃO esteja vigente </w:t>
      </w:r>
      <w:r>
        <w:rPr>
          <w:rFonts w:ascii="Arial" w:eastAsia="Calibri" w:hAnsi="Arial" w:cs="Arial"/>
          <w:sz w:val="24"/>
          <w:szCs w:val="24"/>
        </w:rPr>
        <w:t>há</w:t>
      </w:r>
      <w:r w:rsidRPr="00693B63">
        <w:rPr>
          <w:rFonts w:ascii="Arial" w:eastAsia="Calibri" w:hAnsi="Arial" w:cs="Arial"/>
          <w:sz w:val="24"/>
          <w:szCs w:val="24"/>
        </w:rPr>
        <w:t xml:space="preserve"> menos de 3 anos, deverão ser utilizadas as projeções constantes do EVTE. Caso uma das PARTES queira utilizar uma projeção diversa, deverá fundamentar tecnicamente essa utilização, cabendo à ENTIDADE REGULADORA E FISCALIZADORA acatar ou não a utilização dessa alternativa. </w:t>
      </w:r>
    </w:p>
    <w:p w14:paraId="67E7422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Deverá ser calculada a quantidade de análises a serem realizadas por ligação, em análises/ligação. </w:t>
      </w:r>
    </w:p>
    <w:p w14:paraId="2DE26B4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Essa quantidade será multiplicada pelo custo da análise, em R$/análise, e pelo número de ligações, obtendo-se, dessa forma, o Custo com Análises Laboratoriais (CAL). </w:t>
      </w:r>
    </w:p>
    <w:p w14:paraId="623B303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ab/>
        <w:t xml:space="preserve">Para projeções futuras, os custos das análises químicas, em R$/análise, serão mantidos constantes em termos reais, isto é, sendo iguais aos últimos dados disponíveis. </w:t>
      </w:r>
    </w:p>
    <w:p w14:paraId="13B6174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ab/>
        <w:t xml:space="preserve">Já as quantidades de análises realizadas, em análise/ligação, para períodos futuros serão mantidas constante e iguais às médias aritméticas dos respectivos dados dos 3 anos mais recentes disponíveis. </w:t>
      </w:r>
    </w:p>
    <w:p w14:paraId="4BA8FD4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ab/>
        <w:t xml:space="preserve">Caso a CONCESSÃO esteja vigente a menos de 3 anos, deverão ser utilizadas as projeções constantes do EVTE. Caso uma das PARTES queira utilizar uma projeção diversa, deverá fundamentar tecnicamente essa utilização, cabendo à ENTIDADE REGULADORA E FISCALIZADORA acatar ou não a utilização dessa alternativa. </w:t>
      </w:r>
    </w:p>
    <w:p w14:paraId="2D0A576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0C6E70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6.6. </w:t>
      </w:r>
      <w:r w:rsidRPr="00693B63">
        <w:rPr>
          <w:rFonts w:ascii="Arial" w:eastAsia="Calibri" w:hAnsi="Arial" w:cs="Arial"/>
          <w:b/>
          <w:bCs/>
          <w:sz w:val="24"/>
          <w:szCs w:val="24"/>
        </w:rPr>
        <w:tab/>
        <w:t xml:space="preserve">Custo com Manutenção (CMA) </w:t>
      </w:r>
    </w:p>
    <w:p w14:paraId="6998BEC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3DB684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Custo com Manutenção (CMA) será o resultado do produto entre a estimativa do custo de manutenção por ligação, em R$/ligação, e o número de ligações. </w:t>
      </w:r>
    </w:p>
    <w:p w14:paraId="333B5F0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custo de manutenção por ligação, em R$/ligação, será mantido constante e igual às médias aritméticas dos respectivos dados dos 5 anos mais recentes disponíveis. </w:t>
      </w:r>
    </w:p>
    <w:p w14:paraId="07B8779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Caso a CONCESSÃO esteja vigente a menos de 5 anos, deverão ser utilizadas as projeções constantes do EVTE. Caso uma das PARTES queira utilizar uma projeção diversa, deverá fundamentar tecnicamente essa utilização, cabendo à ENTIDADE REGULADORA E FISCALIZADORA acatar ou não a utilização dessa alternativa. </w:t>
      </w:r>
    </w:p>
    <w:p w14:paraId="4AD0A79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1BAD7A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6.7. </w:t>
      </w:r>
      <w:r w:rsidRPr="00693B63">
        <w:rPr>
          <w:rFonts w:ascii="Arial" w:eastAsia="Calibri" w:hAnsi="Arial" w:cs="Arial"/>
          <w:b/>
          <w:bCs/>
          <w:sz w:val="24"/>
          <w:szCs w:val="24"/>
        </w:rPr>
        <w:tab/>
        <w:t xml:space="preserve">Custo com Veículos Operacionais (CVO) </w:t>
      </w:r>
    </w:p>
    <w:p w14:paraId="37EFDC3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7DEF1F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Deverá ser estimado o custo com veículos por ligação, em R$/ligação, e multiplicado pelo número de ligações para se obter o Custo com Veículos Operacionais (CVO). </w:t>
      </w:r>
    </w:p>
    <w:p w14:paraId="0EF519A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custo com veículos por ligação, em R$/ligação, será mantido constante em termos reais, isto é, sendo igual ao último dado disponível. </w:t>
      </w:r>
    </w:p>
    <w:p w14:paraId="6BE5C06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812499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6.8. </w:t>
      </w:r>
      <w:r w:rsidRPr="00693B63">
        <w:rPr>
          <w:rFonts w:ascii="Arial" w:eastAsia="Calibri" w:hAnsi="Arial" w:cs="Arial"/>
          <w:b/>
          <w:bCs/>
          <w:sz w:val="24"/>
          <w:szCs w:val="24"/>
        </w:rPr>
        <w:tab/>
        <w:t xml:space="preserve">Outros Custos Operacionais (OCO) </w:t>
      </w:r>
    </w:p>
    <w:p w14:paraId="209E058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947573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 </w:t>
      </w:r>
      <w:r w:rsidRPr="00693B63">
        <w:rPr>
          <w:rFonts w:ascii="Arial" w:eastAsia="Calibri" w:hAnsi="Arial" w:cs="Arial"/>
          <w:sz w:val="24"/>
          <w:szCs w:val="24"/>
        </w:rPr>
        <w:tab/>
        <w:t xml:space="preserve">A categoria Outros Custos Operacionais (OCO) abrangerá os custos não qualificáveis para as demais categorias. A CONCESSIONÁRIA deverá caracterizar os itens a serem incluídos nesse montante apresentando as devidas justificativas para sua inclusão no fluxo financeiro do projeto. </w:t>
      </w:r>
    </w:p>
    <w:p w14:paraId="70EAFD1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caso fique caracterizado que algum custo pertencente a essa categoria seja regular e que, portanto, permanecerá sendo devido em períodos futuros, ele será mantido constante em termos reais, isto é, sendo igual ao último dado disponível. </w:t>
      </w:r>
    </w:p>
    <w:p w14:paraId="01FCB9E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57744BF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7. </w:t>
      </w:r>
      <w:r w:rsidRPr="00693B63">
        <w:rPr>
          <w:rFonts w:ascii="Arial" w:eastAsia="Calibri" w:hAnsi="Arial" w:cs="Arial"/>
          <w:b/>
          <w:bCs/>
          <w:sz w:val="24"/>
          <w:szCs w:val="24"/>
        </w:rPr>
        <w:tab/>
        <w:t xml:space="preserve">Despesas Comerciais e Administrativas (DCA) </w:t>
      </w:r>
    </w:p>
    <w:p w14:paraId="2392873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75B177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As Despesas Comerciais e Administrativas deverão ser segmentadas nas seguintes categorias: </w:t>
      </w:r>
    </w:p>
    <w:p w14:paraId="0C9FDDB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C0972C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 Despesas com Mão de Obra Administrativa (R$/mês) - DMA; </w:t>
      </w:r>
    </w:p>
    <w:p w14:paraId="4184DFB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II. Despesas com Licenciamento e Condicionantes Ambientais (R$/mês) - DLA; </w:t>
      </w:r>
    </w:p>
    <w:p w14:paraId="218805F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III. Taxa de regulação, controle e fiscalização da ARIS-SC (R$/mês) - TFA; e </w:t>
      </w:r>
    </w:p>
    <w:p w14:paraId="7A5A9AD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IV. Outras Despesas Administrativas - ODA. </w:t>
      </w:r>
    </w:p>
    <w:p w14:paraId="00F230F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64C98D7"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𝐷𝐶𝐴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𝐷𝑀𝐴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𝐷𝐿𝐴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𝑇𝐹𝐴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𝑂𝐷𝐴</w:t>
      </w:r>
    </w:p>
    <w:p w14:paraId="239063A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54B99B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7.1. </w:t>
      </w:r>
      <w:r w:rsidRPr="00693B63">
        <w:rPr>
          <w:rFonts w:ascii="Arial" w:eastAsia="Calibri" w:hAnsi="Arial" w:cs="Arial"/>
          <w:b/>
          <w:bCs/>
          <w:sz w:val="24"/>
          <w:szCs w:val="24"/>
        </w:rPr>
        <w:tab/>
        <w:t xml:space="preserve">Despesas com Mão de Obra Administrativa (DMA) </w:t>
      </w:r>
    </w:p>
    <w:p w14:paraId="7053F29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F8E7C3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Partindo-se do número de funcionários administrativos, multiplica-se pelo custo médio por funcionário em R$/funcionário/mês a fim de se obter o valor das Despesas com Mão de Obra Administrativa (DMA). </w:t>
      </w:r>
    </w:p>
    <w:p w14:paraId="784069C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as Despesas com Mão de Obra Administrativa deverão estar limitadas a, no máximo, 10% dos Custos com Mão de Obra Operacional (CMO). </w:t>
      </w:r>
    </w:p>
    <w:p w14:paraId="5A27C82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3370CA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7.2. </w:t>
      </w:r>
      <w:r w:rsidRPr="00693B63">
        <w:rPr>
          <w:rFonts w:ascii="Arial" w:eastAsia="Calibri" w:hAnsi="Arial" w:cs="Arial"/>
          <w:b/>
          <w:bCs/>
          <w:sz w:val="24"/>
          <w:szCs w:val="24"/>
        </w:rPr>
        <w:tab/>
        <w:t xml:space="preserve">Despesas com Licenciamento e Condicionantes Ambientais (DLA) </w:t>
      </w:r>
    </w:p>
    <w:p w14:paraId="31EC9C1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D2CCDC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Projeção das Despesas com o Atendimento a Condicionantes das Licenças </w:t>
      </w:r>
      <w:r w:rsidRPr="00693B63">
        <w:rPr>
          <w:rFonts w:ascii="Arial" w:eastAsia="Calibri" w:hAnsi="Arial" w:cs="Arial"/>
          <w:sz w:val="24"/>
          <w:szCs w:val="24"/>
        </w:rPr>
        <w:lastRenderedPageBreak/>
        <w:t xml:space="preserve">Ambientais ou com os processos de licenciamento em si. </w:t>
      </w:r>
    </w:p>
    <w:p w14:paraId="1ADF710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as Despesas com Licenciamento e Condicionantes Ambientais serão mantidas constantes em termos reais, isto é, sendo iguais ao último dado disponível. </w:t>
      </w:r>
    </w:p>
    <w:p w14:paraId="0900380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871D1C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7.3. </w:t>
      </w:r>
      <w:r w:rsidRPr="00693B63">
        <w:rPr>
          <w:rFonts w:ascii="Arial" w:eastAsia="Calibri" w:hAnsi="Arial" w:cs="Arial"/>
          <w:b/>
          <w:bCs/>
          <w:sz w:val="24"/>
          <w:szCs w:val="24"/>
        </w:rPr>
        <w:tab/>
        <w:t>Taxa de Fiscalização da AGÊNCIA REGULADORA (TFA)</w:t>
      </w:r>
    </w:p>
    <w:p w14:paraId="718AE2A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826863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Essa despesa será calculada como uma taxa sobre a receita líquida da CONCESSIONÁRIA. O percentual a ser aplicado deverá estar de acordo com a legislação que define a taxa de fiscalização da ENTIDADE REGULADORA E FISCALIZADORA. </w:t>
      </w:r>
    </w:p>
    <w:p w14:paraId="78F90DB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percentual será mantido constante e igual ao último dado disponível. </w:t>
      </w:r>
    </w:p>
    <w:p w14:paraId="058FA51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2BDDA3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7.4. </w:t>
      </w:r>
      <w:r w:rsidRPr="00693B63">
        <w:rPr>
          <w:rFonts w:ascii="Arial" w:eastAsia="Calibri" w:hAnsi="Arial" w:cs="Arial"/>
          <w:b/>
          <w:bCs/>
          <w:sz w:val="24"/>
          <w:szCs w:val="24"/>
        </w:rPr>
        <w:tab/>
        <w:t xml:space="preserve">Outras Despesas Administrativas (ODA) </w:t>
      </w:r>
    </w:p>
    <w:p w14:paraId="786A69C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5687E1D"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categoria Outras Despesas Administrativas (ODA) abrange as despesas não qualificáveis para as demais categorias. incluindo as Despesas com Seguros e Garantias (DSG). A CONCESSIONÁRIA deverá caracterizar os itens a serem incluídos nesse montante apresentando as devidas justificativas para sua inclusão no fluxo financeiro do projeto. </w:t>
      </w:r>
    </w:p>
    <w:p w14:paraId="34BAE66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caso fique caracterizado que alguma despesa pertencente a essa categoria seja regular e que, portanto, permanecerá sendo devida em períodos futuros, ela será mantida constante em termos reais, isto é, sendo igual ao último dado disponível. </w:t>
      </w:r>
    </w:p>
    <w:p w14:paraId="01256B9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139D2A7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8. </w:t>
      </w:r>
      <w:r w:rsidRPr="00693B63">
        <w:rPr>
          <w:rFonts w:ascii="Arial" w:eastAsia="Calibri" w:hAnsi="Arial" w:cs="Arial"/>
          <w:b/>
          <w:bCs/>
          <w:sz w:val="24"/>
          <w:szCs w:val="24"/>
        </w:rPr>
        <w:tab/>
        <w:t xml:space="preserve">LAJIDA (Lucro antes de Juros, Impostos, Depreciação e Amortização) </w:t>
      </w:r>
    </w:p>
    <w:p w14:paraId="0F73E4D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6C1DD80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Lucro antes de Juros, Impostos, Depreciação e Amortização será o resultado da subtração dos custos de O&amp;M (COM) e das Despesas Comerciais e Administrativas (DCA) da receita após inadimplência (RAI). </w:t>
      </w:r>
    </w:p>
    <w:p w14:paraId="4FF4E87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187A2CF"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lastRenderedPageBreak/>
        <w:t>𝐿𝐴𝐽𝐼𝐷𝐴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𝑅𝐴𝐼</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𝐶𝑂𝑀</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𝐷𝐶𝐴</w:t>
      </w:r>
    </w:p>
    <w:p w14:paraId="4B7D96C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C0EE16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9. </w:t>
      </w:r>
      <w:r w:rsidRPr="00693B63">
        <w:rPr>
          <w:rFonts w:ascii="Arial" w:eastAsia="Calibri" w:hAnsi="Arial" w:cs="Arial"/>
          <w:b/>
          <w:bCs/>
          <w:sz w:val="24"/>
          <w:szCs w:val="24"/>
        </w:rPr>
        <w:tab/>
        <w:t xml:space="preserve">Impostos Diretos (IDI) </w:t>
      </w:r>
    </w:p>
    <w:p w14:paraId="51EA3B2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21EC485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Deverão ser considerados todos os impostos diretos sobre a renda conforme legislação aplicável. </w:t>
      </w:r>
    </w:p>
    <w:p w14:paraId="00A0378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Em caso de utilização do regime de Lucro Real, primeiramente, deverá ser excluída a amortização do ativo intangível para cálculo do LAIR (Lucro antes do Imposto de Renda). </w:t>
      </w:r>
    </w:p>
    <w:p w14:paraId="1D7E1A0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As amortizações serão reconhecidas e projetadas conforme legislação aplicável e normas da Receita Federal do Brasil. </w:t>
      </w:r>
    </w:p>
    <w:p w14:paraId="09B9EB1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montante de impostos diretos (IDI) será calculado através da aplicação das respectivas alíquotas de Imposto de Renda de Pessoa Jurídica (IRPJ) e Contribuição Social sobre Lucro Líquido (CSLL) sobre o LAIR, sendo considerados eventuais benefícios por prejuízo fiscal. </w:t>
      </w:r>
    </w:p>
    <w:p w14:paraId="3C7CC78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Em caso de utilização do regime de Lucro Presumido, primeiramente, serão aplicados os percentuais previstos em legislação para determinação da base de cálculo do IRPJ e da CSLL e posterior aplicação das alíquotas. </w:t>
      </w:r>
    </w:p>
    <w:p w14:paraId="1A006DE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1D8470C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10. </w:t>
      </w:r>
      <w:r w:rsidRPr="00693B63">
        <w:rPr>
          <w:rFonts w:ascii="Arial" w:eastAsia="Calibri" w:hAnsi="Arial" w:cs="Arial"/>
          <w:b/>
          <w:bCs/>
          <w:sz w:val="24"/>
          <w:szCs w:val="24"/>
        </w:rPr>
        <w:tab/>
        <w:t xml:space="preserve">Variação da Necessidade de Capital de Giro (VCG) </w:t>
      </w:r>
    </w:p>
    <w:p w14:paraId="7CE7A84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E2ED2A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cálculo da Variação da Necessidade de Capital de Giro deverá considerar as melhores práticas de finanças corporativas. </w:t>
      </w:r>
    </w:p>
    <w:p w14:paraId="45533EA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Matematicamente, a Variação da Necessidade de Capital de Giro é o resultado da necessidade de capital de giro do período menos a necessidade de capital de giro do período seguinte. </w:t>
      </w:r>
    </w:p>
    <w:p w14:paraId="2596A60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projeções futuras o número de dias de cada item, será mantido constante e igual à média aritmética dos respectivos dados dos 3 anos mais recentes disponíveis. Caso a CONCESSÃO esteja vigente a menos de 3 anos, considerar-se-á a média aritmética do máximo de dados anuais disponíveis. </w:t>
      </w:r>
    </w:p>
    <w:p w14:paraId="1F6BC72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04C361D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11. </w:t>
      </w:r>
      <w:r w:rsidRPr="00693B63">
        <w:rPr>
          <w:rFonts w:ascii="Arial" w:eastAsia="Calibri" w:hAnsi="Arial" w:cs="Arial"/>
          <w:b/>
          <w:bCs/>
          <w:sz w:val="24"/>
          <w:szCs w:val="24"/>
        </w:rPr>
        <w:tab/>
        <w:t xml:space="preserve">Investimentos (INV) </w:t>
      </w:r>
    </w:p>
    <w:p w14:paraId="568CF33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85C09E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Os montantes de investimentos realizados e projetados deverão estar distribuídos nas seguintes categorias: </w:t>
      </w:r>
    </w:p>
    <w:p w14:paraId="7DF3E8B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I. Sistemas de Água</w:t>
      </w:r>
    </w:p>
    <w:p w14:paraId="11335E3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 Captação de Água Superficial </w:t>
      </w:r>
    </w:p>
    <w:p w14:paraId="7AB2448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 Estação Elevatória de Água Bruta </w:t>
      </w:r>
    </w:p>
    <w:p w14:paraId="23FD275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 Adutora de Água Bruta </w:t>
      </w:r>
    </w:p>
    <w:p w14:paraId="41DA5AE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 Estação de Tratamento de Água </w:t>
      </w:r>
    </w:p>
    <w:p w14:paraId="70DEB2F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 Estação Elevatória de Água Tratada </w:t>
      </w:r>
    </w:p>
    <w:p w14:paraId="2A83FC5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 Adutora de Água Tratada </w:t>
      </w:r>
    </w:p>
    <w:p w14:paraId="2474EE1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7. Reservatórios </w:t>
      </w:r>
    </w:p>
    <w:p w14:paraId="34DE1F87"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 Rede de Abastecimento de Água </w:t>
      </w:r>
    </w:p>
    <w:p w14:paraId="486C429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9. Ligações Domiciliares </w:t>
      </w:r>
    </w:p>
    <w:p w14:paraId="7C43EF8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10. Controle de Perdas </w:t>
      </w:r>
    </w:p>
    <w:p w14:paraId="5547EE5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11. Aquisição de Áreas </w:t>
      </w:r>
    </w:p>
    <w:p w14:paraId="4390898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 Substituição de Hidrômetros </w:t>
      </w:r>
    </w:p>
    <w:p w14:paraId="1AF7EF49"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13. Outros Investimentos em Sistemas de Água </w:t>
      </w:r>
    </w:p>
    <w:p w14:paraId="34A379B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II. Sistemas de Esgoto</w:t>
      </w:r>
    </w:p>
    <w:p w14:paraId="7E8061A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 Ligações Domiciliares </w:t>
      </w:r>
    </w:p>
    <w:p w14:paraId="1E2F222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 Rede Coletora de Esgoto </w:t>
      </w:r>
    </w:p>
    <w:p w14:paraId="113E0DF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 Interceptor de Esgoto </w:t>
      </w:r>
    </w:p>
    <w:p w14:paraId="14AA370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 Estação Elevatória de Esgoto </w:t>
      </w:r>
    </w:p>
    <w:p w14:paraId="610E359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 Linha de Recalque de Esgoto </w:t>
      </w:r>
    </w:p>
    <w:p w14:paraId="792B2CE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 Estação de Tratamento de Esgoto </w:t>
      </w:r>
    </w:p>
    <w:p w14:paraId="0866C9E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7. Emissário de Esgoto </w:t>
      </w:r>
    </w:p>
    <w:p w14:paraId="6A5D567F"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 Outros Investimentos em Sistemas de Esgoto </w:t>
      </w:r>
    </w:p>
    <w:p w14:paraId="19CC3855"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III. Investimentos Compartilhados por Sistemas de Água e Esgoto. </w:t>
      </w:r>
    </w:p>
    <w:p w14:paraId="4A99C176"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079FA8A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Para fins de orçamentação dos investimentos, sempre que possível, deverá ser utilizado como fonte oficial de referência de preços de insumos e de custos de composições de serviços os dados da tabela SINAPI mais recente, ou outro documento que venha a substituí-lo e, na indisponibilidade de informações mais atuais </w:t>
      </w:r>
      <w:r w:rsidRPr="00693B63">
        <w:rPr>
          <w:rFonts w:ascii="Arial" w:eastAsia="Calibri" w:hAnsi="Arial" w:cs="Arial"/>
          <w:sz w:val="24"/>
          <w:szCs w:val="24"/>
        </w:rPr>
        <w:lastRenderedPageBreak/>
        <w:t>e, a critério da ENTIDADE REGULADORA E FISCALIZADORA, outros parâmetros como, por exemplo os utilizados e publicados em revistas de engenharia nacionais e internacionais.</w:t>
      </w:r>
    </w:p>
    <w:p w14:paraId="1314FD63"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A ENTIDADE REGULADORA E FISCALIZADORA poderá solicitar que a CONCESSIONÁRIA demonstre que os valores necessários para realização de novos investimentos serão calculados com base em valores de mercado, considerando o custo global de obras ou atividades semelhantes no Brasil, ou com base em sistemas de custos que utilizem como insumo valores de mercado do setor específico do projeto, aferidos, em qualquer caso, mediante orçamento sintético, elaborado por meio de metodologia expedita ou paramétrica. </w:t>
      </w:r>
    </w:p>
    <w:p w14:paraId="27496ABA"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Na composição do preço, poderá ser considerado, ainda, um percentual sobre o investimento para Benefícios e Despesas Indiretas (BDI), devendo-se referenciar o racional para determinação desse percentual ou justificar o valor adotado com fundamentação técnica apropriada, preferencialmente a partir de dados oficiais de instituições amplamente reconhecidas. </w:t>
      </w:r>
    </w:p>
    <w:p w14:paraId="4690180B"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20F739D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12. </w:t>
      </w:r>
      <w:r w:rsidRPr="00693B63">
        <w:rPr>
          <w:rFonts w:ascii="Arial" w:eastAsia="Calibri" w:hAnsi="Arial" w:cs="Arial"/>
          <w:b/>
          <w:bCs/>
          <w:sz w:val="24"/>
          <w:szCs w:val="24"/>
        </w:rPr>
        <w:tab/>
        <w:t xml:space="preserve">Amortização </w:t>
      </w:r>
    </w:p>
    <w:p w14:paraId="47737AEC"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343F8CF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 valor da amortização deverá ser obtido a partir das normas contábeis aplicáveis no CONTRATO e em consonância com as determinações da Receita Federal do Brasil. </w:t>
      </w:r>
    </w:p>
    <w:p w14:paraId="050EF84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Em concordância com as práticas de registros contábeis para concessão de serviços públicos, deverão ser deduzidas da base de cálculo dos impostos diretos as amortizações dos investimentos que compõem o ativo intangível do operador privado, dentro do prazo do CONTRATO e em proporção equivalente à curva de demanda da CONCESSÃO. </w:t>
      </w:r>
    </w:p>
    <w:p w14:paraId="2A56B56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5B78DC98"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13. </w:t>
      </w:r>
      <w:r w:rsidRPr="00693B63">
        <w:rPr>
          <w:rFonts w:ascii="Arial" w:eastAsia="Calibri" w:hAnsi="Arial" w:cs="Arial"/>
          <w:b/>
          <w:bCs/>
          <w:sz w:val="24"/>
          <w:szCs w:val="24"/>
        </w:rPr>
        <w:tab/>
        <w:t xml:space="preserve">Fluxo de Caixa Livre do Projeto (FCP) </w:t>
      </w:r>
    </w:p>
    <w:p w14:paraId="46B3A05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741A08E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Por fim, o Fluxo de Caixa Operacional será o resultado da subtração dos impostos diretos, investimentos e outorga do LAJIDA, além da adição da Variação da Necessidade de Capital de Giro, que poderá ser positiva ou negativa. </w:t>
      </w:r>
    </w:p>
    <w:p w14:paraId="25D3AE8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p w14:paraId="44DC3927" w14:textId="77777777" w:rsidR="00EE2C48" w:rsidRPr="00693B63" w:rsidRDefault="00EE2C48" w:rsidP="00EE2C48">
      <w:pPr>
        <w:widowControl w:val="0"/>
        <w:tabs>
          <w:tab w:val="left" w:pos="0"/>
        </w:tabs>
        <w:autoSpaceDE w:val="0"/>
        <w:autoSpaceDN w:val="0"/>
        <w:spacing w:after="0" w:line="360" w:lineRule="auto"/>
        <w:jc w:val="center"/>
        <w:rPr>
          <w:rFonts w:ascii="Arial" w:eastAsia="Calibri" w:hAnsi="Arial" w:cs="Arial"/>
          <w:b/>
          <w:bCs/>
          <w:sz w:val="24"/>
          <w:szCs w:val="24"/>
        </w:rPr>
      </w:pPr>
      <w:r w:rsidRPr="00693B63">
        <w:rPr>
          <w:rFonts w:ascii="Cambria Math" w:eastAsia="Calibri" w:hAnsi="Cambria Math" w:cs="Cambria Math"/>
          <w:b/>
          <w:bCs/>
          <w:sz w:val="24"/>
          <w:szCs w:val="24"/>
        </w:rPr>
        <w:t>𝐹𝐶𝑃</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𝐿𝐴𝐽𝐼𝐷𝐴</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𝐼𝐷𝐼</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𝐼𝑁𝑉</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𝑂𝑈𝑇</w:t>
      </w:r>
      <w:r w:rsidRPr="00693B63">
        <w:rPr>
          <w:rFonts w:ascii="Arial" w:eastAsia="Calibri" w:hAnsi="Arial" w:cs="Arial"/>
          <w:b/>
          <w:bCs/>
          <w:sz w:val="24"/>
          <w:szCs w:val="24"/>
        </w:rPr>
        <w:t xml:space="preserve"> + </w:t>
      </w:r>
      <w:r w:rsidRPr="00693B63">
        <w:rPr>
          <w:rFonts w:ascii="Cambria Math" w:eastAsia="Calibri" w:hAnsi="Cambria Math" w:cs="Cambria Math"/>
          <w:b/>
          <w:bCs/>
          <w:sz w:val="24"/>
          <w:szCs w:val="24"/>
        </w:rPr>
        <w:t>𝑉𝐶𝐺</w:t>
      </w:r>
    </w:p>
    <w:p w14:paraId="4F897684"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b/>
          <w:bCs/>
          <w:sz w:val="24"/>
          <w:szCs w:val="24"/>
        </w:rPr>
      </w:pPr>
    </w:p>
    <w:p w14:paraId="67948EA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14. Índices de Atualização </w:t>
      </w:r>
    </w:p>
    <w:p w14:paraId="493086D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p>
    <w:tbl>
      <w:tblPr>
        <w:tblStyle w:val="NormalTable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126"/>
        <w:gridCol w:w="4961"/>
      </w:tblGrid>
      <w:tr w:rsidR="00EE2C48" w14:paraId="7741E37D" w14:textId="77777777" w:rsidTr="009159D4">
        <w:trPr>
          <w:trHeight w:val="313"/>
        </w:trPr>
        <w:tc>
          <w:tcPr>
            <w:tcW w:w="4126" w:type="dxa"/>
            <w:tcBorders>
              <w:right w:val="single" w:sz="4" w:space="0" w:color="000000"/>
            </w:tcBorders>
            <w:shd w:val="clear" w:color="auto" w:fill="336699"/>
          </w:tcPr>
          <w:p w14:paraId="65B0A89C" w14:textId="77777777" w:rsidR="00EE2C48" w:rsidRPr="00D618CF" w:rsidRDefault="00EE2C48" w:rsidP="009159D4">
            <w:pPr>
              <w:spacing w:line="360" w:lineRule="auto"/>
              <w:jc w:val="center"/>
              <w:rPr>
                <w:rFonts w:ascii="Arial" w:eastAsia="Calibri" w:hAnsi="Arial" w:cs="Arial"/>
                <w:b/>
                <w:sz w:val="20"/>
                <w:szCs w:val="20"/>
                <w:lang w:val="pt-PT"/>
              </w:rPr>
            </w:pPr>
            <w:r w:rsidRPr="00D618CF">
              <w:rPr>
                <w:rFonts w:ascii="Arial" w:eastAsia="Calibri" w:hAnsi="Arial" w:cs="Arial"/>
                <w:b/>
                <w:color w:val="FFFFFF"/>
                <w:spacing w:val="-4"/>
                <w:sz w:val="20"/>
                <w:szCs w:val="20"/>
                <w:lang w:val="pt-PT"/>
              </w:rPr>
              <w:t>Item</w:t>
            </w:r>
          </w:p>
        </w:tc>
        <w:tc>
          <w:tcPr>
            <w:tcW w:w="4961" w:type="dxa"/>
            <w:tcBorders>
              <w:left w:val="single" w:sz="4" w:space="0" w:color="000000"/>
            </w:tcBorders>
            <w:shd w:val="clear" w:color="auto" w:fill="336699"/>
          </w:tcPr>
          <w:p w14:paraId="45415AB6" w14:textId="77777777" w:rsidR="00EE2C48" w:rsidRPr="00D618CF" w:rsidRDefault="00EE2C48" w:rsidP="009159D4">
            <w:pPr>
              <w:spacing w:line="360" w:lineRule="auto"/>
              <w:jc w:val="center"/>
              <w:rPr>
                <w:rFonts w:ascii="Arial" w:eastAsia="Calibri" w:hAnsi="Arial" w:cs="Arial"/>
                <w:b/>
                <w:sz w:val="20"/>
                <w:szCs w:val="20"/>
                <w:lang w:val="pt-PT"/>
              </w:rPr>
            </w:pPr>
            <w:r w:rsidRPr="00D618CF">
              <w:rPr>
                <w:rFonts w:ascii="Arial" w:eastAsia="Calibri" w:hAnsi="Arial" w:cs="Arial"/>
                <w:b/>
                <w:color w:val="FFFFFF"/>
                <w:sz w:val="20"/>
                <w:szCs w:val="20"/>
                <w:lang w:val="pt-PT"/>
              </w:rPr>
              <w:t>Índice</w:t>
            </w:r>
            <w:r w:rsidRPr="00D618CF">
              <w:rPr>
                <w:rFonts w:ascii="Arial" w:eastAsia="Calibri" w:hAnsi="Arial" w:cs="Arial"/>
                <w:b/>
                <w:color w:val="FFFFFF"/>
                <w:spacing w:val="-2"/>
                <w:sz w:val="20"/>
                <w:szCs w:val="20"/>
                <w:lang w:val="pt-PT"/>
              </w:rPr>
              <w:t xml:space="preserve"> </w:t>
            </w:r>
            <w:r w:rsidRPr="00D618CF">
              <w:rPr>
                <w:rFonts w:ascii="Arial" w:eastAsia="Calibri" w:hAnsi="Arial" w:cs="Arial"/>
                <w:b/>
                <w:color w:val="FFFFFF"/>
                <w:sz w:val="20"/>
                <w:szCs w:val="20"/>
                <w:lang w:val="pt-PT"/>
              </w:rPr>
              <w:t>de</w:t>
            </w:r>
            <w:r w:rsidRPr="00D618CF">
              <w:rPr>
                <w:rFonts w:ascii="Arial" w:eastAsia="Calibri" w:hAnsi="Arial" w:cs="Arial"/>
                <w:b/>
                <w:color w:val="FFFFFF"/>
                <w:spacing w:val="-3"/>
                <w:sz w:val="20"/>
                <w:szCs w:val="20"/>
                <w:lang w:val="pt-PT"/>
              </w:rPr>
              <w:t xml:space="preserve"> </w:t>
            </w:r>
            <w:r w:rsidRPr="00D618CF">
              <w:rPr>
                <w:rFonts w:ascii="Arial" w:eastAsia="Calibri" w:hAnsi="Arial" w:cs="Arial"/>
                <w:b/>
                <w:color w:val="FFFFFF"/>
                <w:spacing w:val="-2"/>
                <w:sz w:val="20"/>
                <w:szCs w:val="20"/>
                <w:lang w:val="pt-PT"/>
              </w:rPr>
              <w:t>Atualização</w:t>
            </w:r>
          </w:p>
        </w:tc>
      </w:tr>
      <w:tr w:rsidR="00EE2C48" w14:paraId="232E0CD6" w14:textId="77777777" w:rsidTr="009159D4">
        <w:trPr>
          <w:trHeight w:val="539"/>
        </w:trPr>
        <w:tc>
          <w:tcPr>
            <w:tcW w:w="4126" w:type="dxa"/>
            <w:tcBorders>
              <w:bottom w:val="single" w:sz="4" w:space="0" w:color="000000"/>
              <w:right w:val="single" w:sz="4" w:space="0" w:color="000000"/>
            </w:tcBorders>
          </w:tcPr>
          <w:p w14:paraId="35C1176A"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Receita</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Direta</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2"/>
                <w:sz w:val="20"/>
                <w:szCs w:val="20"/>
                <w:lang w:val="pt-PT"/>
              </w:rPr>
              <w:t xml:space="preserve"> </w:t>
            </w:r>
            <w:r w:rsidRPr="00D618CF">
              <w:rPr>
                <w:rFonts w:ascii="Arial" w:eastAsia="Calibri" w:hAnsi="Arial" w:cs="Arial"/>
                <w:spacing w:val="-4"/>
                <w:sz w:val="20"/>
                <w:szCs w:val="20"/>
                <w:lang w:val="pt-PT"/>
              </w:rPr>
              <w:t>Água</w:t>
            </w:r>
          </w:p>
        </w:tc>
        <w:tc>
          <w:tcPr>
            <w:tcW w:w="4961" w:type="dxa"/>
            <w:tcBorders>
              <w:left w:val="single" w:sz="4" w:space="0" w:color="000000"/>
              <w:bottom w:val="single" w:sz="4" w:space="0" w:color="000000"/>
            </w:tcBorders>
          </w:tcPr>
          <w:p w14:paraId="4BAC11A7"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Reajuste</w:t>
            </w:r>
            <w:r w:rsidRPr="00D618CF">
              <w:rPr>
                <w:rFonts w:ascii="Arial" w:eastAsia="Calibri" w:hAnsi="Arial" w:cs="Arial"/>
                <w:spacing w:val="-7"/>
                <w:sz w:val="20"/>
                <w:szCs w:val="20"/>
                <w:lang w:val="pt-PT"/>
              </w:rPr>
              <w:t xml:space="preserve"> </w:t>
            </w:r>
            <w:r w:rsidRPr="00D618CF">
              <w:rPr>
                <w:rFonts w:ascii="Arial" w:eastAsia="Calibri" w:hAnsi="Arial" w:cs="Arial"/>
                <w:sz w:val="20"/>
                <w:szCs w:val="20"/>
                <w:lang w:val="pt-PT"/>
              </w:rPr>
              <w:t>Contratual</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conforme fórmula prevista no CONTRATO</w:t>
            </w:r>
          </w:p>
        </w:tc>
      </w:tr>
      <w:tr w:rsidR="00EE2C48" w14:paraId="45F51182" w14:textId="77777777" w:rsidTr="009159D4">
        <w:trPr>
          <w:trHeight w:val="536"/>
        </w:trPr>
        <w:tc>
          <w:tcPr>
            <w:tcW w:w="4126" w:type="dxa"/>
            <w:tcBorders>
              <w:top w:val="single" w:sz="4" w:space="0" w:color="000000"/>
              <w:bottom w:val="single" w:sz="4" w:space="0" w:color="000000"/>
              <w:right w:val="single" w:sz="4" w:space="0" w:color="000000"/>
            </w:tcBorders>
          </w:tcPr>
          <w:p w14:paraId="38AF2710"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Energia</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Elétrica</w:t>
            </w:r>
          </w:p>
        </w:tc>
        <w:tc>
          <w:tcPr>
            <w:tcW w:w="4961" w:type="dxa"/>
            <w:tcBorders>
              <w:top w:val="single" w:sz="4" w:space="0" w:color="000000"/>
              <w:left w:val="single" w:sz="4" w:space="0" w:color="000000"/>
              <w:bottom w:val="single" w:sz="4" w:space="0" w:color="000000"/>
            </w:tcBorders>
          </w:tcPr>
          <w:p w14:paraId="327A68EE"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pacing w:val="-2"/>
                <w:sz w:val="20"/>
                <w:szCs w:val="20"/>
                <w:lang w:val="pt-PT"/>
              </w:rPr>
              <w:t>energia</w:t>
            </w:r>
          </w:p>
          <w:p w14:paraId="1D183D51"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elétrica</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CONTRATO</w:t>
            </w:r>
          </w:p>
        </w:tc>
      </w:tr>
      <w:tr w:rsidR="00EE2C48" w14:paraId="7E54DF00" w14:textId="77777777" w:rsidTr="009159D4">
        <w:trPr>
          <w:trHeight w:val="534"/>
        </w:trPr>
        <w:tc>
          <w:tcPr>
            <w:tcW w:w="4126" w:type="dxa"/>
            <w:tcBorders>
              <w:top w:val="single" w:sz="4" w:space="0" w:color="000000"/>
              <w:bottom w:val="single" w:sz="4" w:space="0" w:color="000000"/>
              <w:right w:val="single" w:sz="4" w:space="0" w:color="000000"/>
            </w:tcBorders>
          </w:tcPr>
          <w:p w14:paraId="65AD9432"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Mão</w:t>
            </w:r>
            <w:r w:rsidRPr="00D618CF">
              <w:rPr>
                <w:rFonts w:ascii="Arial" w:eastAsia="Calibri" w:hAnsi="Arial" w:cs="Arial"/>
                <w:spacing w:val="-1"/>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Obra</w:t>
            </w:r>
            <w:r w:rsidRPr="00D618CF">
              <w:rPr>
                <w:rFonts w:ascii="Arial" w:eastAsia="Calibri" w:hAnsi="Arial" w:cs="Arial"/>
                <w:spacing w:val="-2"/>
                <w:sz w:val="20"/>
                <w:szCs w:val="20"/>
                <w:lang w:val="pt-PT"/>
              </w:rPr>
              <w:t xml:space="preserve"> Operacional</w:t>
            </w:r>
          </w:p>
        </w:tc>
        <w:tc>
          <w:tcPr>
            <w:tcW w:w="4961" w:type="dxa"/>
            <w:tcBorders>
              <w:top w:val="single" w:sz="4" w:space="0" w:color="000000"/>
              <w:left w:val="single" w:sz="4" w:space="0" w:color="000000"/>
              <w:bottom w:val="single" w:sz="4" w:space="0" w:color="000000"/>
            </w:tcBorders>
          </w:tcPr>
          <w:p w14:paraId="4F1B388D"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mão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2"/>
                <w:sz w:val="20"/>
                <w:szCs w:val="20"/>
                <w:lang w:val="pt-PT"/>
              </w:rPr>
              <w:t xml:space="preserve"> </w:t>
            </w:r>
            <w:r w:rsidRPr="00D618CF">
              <w:rPr>
                <w:rFonts w:ascii="Arial" w:eastAsia="Calibri" w:hAnsi="Arial" w:cs="Arial"/>
                <w:spacing w:val="-4"/>
                <w:sz w:val="20"/>
                <w:szCs w:val="20"/>
                <w:lang w:val="pt-PT"/>
              </w:rPr>
              <w:t>obra</w:t>
            </w:r>
          </w:p>
          <w:p w14:paraId="625552C3"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do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1"/>
                <w:sz w:val="20"/>
                <w:szCs w:val="20"/>
                <w:lang w:val="pt-PT"/>
              </w:rPr>
              <w:t xml:space="preserve"> </w:t>
            </w:r>
            <w:r w:rsidRPr="00D618CF">
              <w:rPr>
                <w:rFonts w:ascii="Arial" w:eastAsia="Calibri" w:hAnsi="Arial" w:cs="Arial"/>
                <w:spacing w:val="-2"/>
                <w:sz w:val="20"/>
                <w:szCs w:val="20"/>
                <w:lang w:val="pt-PT"/>
              </w:rPr>
              <w:t>CONTRATO</w:t>
            </w:r>
          </w:p>
        </w:tc>
      </w:tr>
      <w:tr w:rsidR="00EE2C48" w14:paraId="60E6F915" w14:textId="77777777" w:rsidTr="009159D4">
        <w:trPr>
          <w:trHeight w:val="537"/>
        </w:trPr>
        <w:tc>
          <w:tcPr>
            <w:tcW w:w="4126" w:type="dxa"/>
            <w:tcBorders>
              <w:top w:val="single" w:sz="4" w:space="0" w:color="000000"/>
              <w:bottom w:val="single" w:sz="4" w:space="0" w:color="000000"/>
              <w:right w:val="single" w:sz="4" w:space="0" w:color="000000"/>
            </w:tcBorders>
          </w:tcPr>
          <w:p w14:paraId="18FBECE0"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Produtos</w:t>
            </w:r>
            <w:r w:rsidRPr="00D618CF">
              <w:rPr>
                <w:rFonts w:ascii="Arial" w:eastAsia="Calibri" w:hAnsi="Arial" w:cs="Arial"/>
                <w:spacing w:val="-5"/>
                <w:sz w:val="20"/>
                <w:szCs w:val="20"/>
                <w:lang w:val="pt-PT"/>
              </w:rPr>
              <w:t xml:space="preserve"> </w:t>
            </w:r>
            <w:r w:rsidRPr="00D618CF">
              <w:rPr>
                <w:rFonts w:ascii="Arial" w:eastAsia="Calibri" w:hAnsi="Arial" w:cs="Arial"/>
                <w:spacing w:val="-2"/>
                <w:sz w:val="20"/>
                <w:szCs w:val="20"/>
                <w:lang w:val="pt-PT"/>
              </w:rPr>
              <w:t>Químicos</w:t>
            </w:r>
          </w:p>
        </w:tc>
        <w:tc>
          <w:tcPr>
            <w:tcW w:w="4961" w:type="dxa"/>
            <w:tcBorders>
              <w:top w:val="single" w:sz="4" w:space="0" w:color="000000"/>
              <w:left w:val="single" w:sz="4" w:space="0" w:color="000000"/>
              <w:bottom w:val="single" w:sz="4" w:space="0" w:color="000000"/>
            </w:tcBorders>
          </w:tcPr>
          <w:p w14:paraId="13BB1A2E"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pacing w:val="-2"/>
                <w:sz w:val="20"/>
                <w:szCs w:val="20"/>
                <w:lang w:val="pt-PT"/>
              </w:rPr>
              <w:t>produtos</w:t>
            </w:r>
          </w:p>
          <w:p w14:paraId="0BE81129"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químicos</w:t>
            </w:r>
            <w:r w:rsidRPr="00D618CF">
              <w:rPr>
                <w:rFonts w:ascii="Arial" w:eastAsia="Calibri" w:hAnsi="Arial" w:cs="Arial"/>
                <w:spacing w:val="-9"/>
                <w:sz w:val="20"/>
                <w:szCs w:val="20"/>
                <w:lang w:val="pt-PT"/>
              </w:rPr>
              <w:t xml:space="preserve"> </w:t>
            </w:r>
            <w:r w:rsidRPr="00D618CF">
              <w:rPr>
                <w:rFonts w:ascii="Arial" w:eastAsia="Calibri" w:hAnsi="Arial" w:cs="Arial"/>
                <w:sz w:val="20"/>
                <w:szCs w:val="20"/>
                <w:lang w:val="pt-PT"/>
              </w:rPr>
              <w:t>do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2"/>
                <w:sz w:val="20"/>
                <w:szCs w:val="20"/>
                <w:lang w:val="pt-PT"/>
              </w:rPr>
              <w:t xml:space="preserve"> CONTRATO</w:t>
            </w:r>
          </w:p>
        </w:tc>
      </w:tr>
      <w:tr w:rsidR="00EE2C48" w14:paraId="346EF1BE" w14:textId="77777777" w:rsidTr="009159D4">
        <w:trPr>
          <w:trHeight w:val="537"/>
        </w:trPr>
        <w:tc>
          <w:tcPr>
            <w:tcW w:w="4126" w:type="dxa"/>
            <w:tcBorders>
              <w:top w:val="single" w:sz="4" w:space="0" w:color="000000"/>
              <w:bottom w:val="single" w:sz="4" w:space="0" w:color="000000"/>
              <w:right w:val="single" w:sz="4" w:space="0" w:color="000000"/>
            </w:tcBorders>
          </w:tcPr>
          <w:p w14:paraId="17EE7465"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Destinação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3"/>
                <w:sz w:val="20"/>
                <w:szCs w:val="20"/>
                <w:lang w:val="pt-PT"/>
              </w:rPr>
              <w:t xml:space="preserve"> </w:t>
            </w:r>
            <w:r w:rsidRPr="00D618CF">
              <w:rPr>
                <w:rFonts w:ascii="Arial" w:eastAsia="Calibri" w:hAnsi="Arial" w:cs="Arial"/>
                <w:spacing w:val="-4"/>
                <w:sz w:val="20"/>
                <w:szCs w:val="20"/>
                <w:lang w:val="pt-PT"/>
              </w:rPr>
              <w:t>Lodo</w:t>
            </w:r>
          </w:p>
        </w:tc>
        <w:tc>
          <w:tcPr>
            <w:tcW w:w="4961" w:type="dxa"/>
            <w:tcBorders>
              <w:top w:val="single" w:sz="4" w:space="0" w:color="000000"/>
              <w:left w:val="single" w:sz="4" w:space="0" w:color="000000"/>
              <w:bottom w:val="single" w:sz="4" w:space="0" w:color="000000"/>
            </w:tcBorders>
          </w:tcPr>
          <w:p w14:paraId="31F41165"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pacing w:val="-2"/>
                <w:sz w:val="20"/>
                <w:szCs w:val="20"/>
                <w:lang w:val="pt-PT"/>
              </w:rPr>
              <w:t>produtos</w:t>
            </w:r>
          </w:p>
          <w:p w14:paraId="7B4C2D33"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químicos</w:t>
            </w:r>
            <w:r w:rsidRPr="00D618CF">
              <w:rPr>
                <w:rFonts w:ascii="Arial" w:eastAsia="Calibri" w:hAnsi="Arial" w:cs="Arial"/>
                <w:spacing w:val="-9"/>
                <w:sz w:val="20"/>
                <w:szCs w:val="20"/>
                <w:lang w:val="pt-PT"/>
              </w:rPr>
              <w:t xml:space="preserve"> </w:t>
            </w:r>
            <w:r w:rsidRPr="00D618CF">
              <w:rPr>
                <w:rFonts w:ascii="Arial" w:eastAsia="Calibri" w:hAnsi="Arial" w:cs="Arial"/>
                <w:sz w:val="20"/>
                <w:szCs w:val="20"/>
                <w:lang w:val="pt-PT"/>
              </w:rPr>
              <w:t>do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2"/>
                <w:sz w:val="20"/>
                <w:szCs w:val="20"/>
                <w:lang w:val="pt-PT"/>
              </w:rPr>
              <w:t xml:space="preserve"> CONTRATO</w:t>
            </w:r>
          </w:p>
        </w:tc>
      </w:tr>
      <w:tr w:rsidR="00EE2C48" w14:paraId="12AD669B" w14:textId="77777777" w:rsidTr="009159D4">
        <w:trPr>
          <w:trHeight w:val="537"/>
        </w:trPr>
        <w:tc>
          <w:tcPr>
            <w:tcW w:w="4126" w:type="dxa"/>
            <w:tcBorders>
              <w:top w:val="single" w:sz="4" w:space="0" w:color="000000"/>
              <w:bottom w:val="single" w:sz="4" w:space="0" w:color="000000"/>
              <w:right w:val="single" w:sz="4" w:space="0" w:color="000000"/>
            </w:tcBorders>
          </w:tcPr>
          <w:p w14:paraId="1F3CD560"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Análises</w:t>
            </w:r>
            <w:r w:rsidRPr="00D618CF">
              <w:rPr>
                <w:rFonts w:ascii="Arial" w:eastAsia="Calibri" w:hAnsi="Arial" w:cs="Arial"/>
                <w:spacing w:val="-2"/>
                <w:sz w:val="20"/>
                <w:szCs w:val="20"/>
                <w:lang w:val="pt-PT"/>
              </w:rPr>
              <w:t xml:space="preserve"> Laboratoriais</w:t>
            </w:r>
          </w:p>
        </w:tc>
        <w:tc>
          <w:tcPr>
            <w:tcW w:w="4961" w:type="dxa"/>
            <w:tcBorders>
              <w:top w:val="single" w:sz="4" w:space="0" w:color="000000"/>
              <w:left w:val="single" w:sz="4" w:space="0" w:color="000000"/>
              <w:bottom w:val="single" w:sz="4" w:space="0" w:color="000000"/>
            </w:tcBorders>
          </w:tcPr>
          <w:p w14:paraId="7BD2850F"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5"/>
                <w:sz w:val="20"/>
                <w:szCs w:val="20"/>
                <w:lang w:val="pt-PT"/>
              </w:rPr>
              <w:t xml:space="preserve"> </w:t>
            </w:r>
            <w:r w:rsidRPr="00D618CF">
              <w:rPr>
                <w:rFonts w:ascii="Arial" w:eastAsia="Calibri" w:hAnsi="Arial" w:cs="Arial"/>
                <w:spacing w:val="-2"/>
                <w:sz w:val="20"/>
                <w:szCs w:val="20"/>
                <w:lang w:val="pt-PT"/>
              </w:rPr>
              <w:t>produtos</w:t>
            </w:r>
          </w:p>
          <w:p w14:paraId="564791B3"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químicos</w:t>
            </w:r>
            <w:r w:rsidRPr="00D618CF">
              <w:rPr>
                <w:rFonts w:ascii="Arial" w:eastAsia="Calibri" w:hAnsi="Arial" w:cs="Arial"/>
                <w:spacing w:val="-8"/>
                <w:sz w:val="20"/>
                <w:szCs w:val="20"/>
                <w:lang w:val="pt-PT"/>
              </w:rPr>
              <w:t xml:space="preserve"> </w:t>
            </w:r>
            <w:r w:rsidRPr="00D618CF">
              <w:rPr>
                <w:rFonts w:ascii="Arial" w:eastAsia="Calibri" w:hAnsi="Arial" w:cs="Arial"/>
                <w:sz w:val="20"/>
                <w:szCs w:val="20"/>
                <w:lang w:val="pt-PT"/>
              </w:rPr>
              <w:t>do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2"/>
                <w:sz w:val="20"/>
                <w:szCs w:val="20"/>
                <w:lang w:val="pt-PT"/>
              </w:rPr>
              <w:t xml:space="preserve"> CONTRATO</w:t>
            </w:r>
          </w:p>
        </w:tc>
      </w:tr>
      <w:tr w:rsidR="00EE2C48" w14:paraId="009203AC" w14:textId="77777777" w:rsidTr="009159D4">
        <w:trPr>
          <w:trHeight w:val="537"/>
        </w:trPr>
        <w:tc>
          <w:tcPr>
            <w:tcW w:w="4126" w:type="dxa"/>
            <w:tcBorders>
              <w:top w:val="single" w:sz="4" w:space="0" w:color="000000"/>
              <w:bottom w:val="single" w:sz="4" w:space="0" w:color="000000"/>
              <w:right w:val="single" w:sz="4" w:space="0" w:color="000000"/>
            </w:tcBorders>
          </w:tcPr>
          <w:p w14:paraId="21461556"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Custos</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Manutenção</w:t>
            </w:r>
          </w:p>
        </w:tc>
        <w:tc>
          <w:tcPr>
            <w:tcW w:w="4961" w:type="dxa"/>
            <w:tcBorders>
              <w:top w:val="single" w:sz="4" w:space="0" w:color="000000"/>
              <w:left w:val="single" w:sz="4" w:space="0" w:color="000000"/>
              <w:bottom w:val="single" w:sz="4" w:space="0" w:color="000000"/>
            </w:tcBorders>
          </w:tcPr>
          <w:p w14:paraId="18AD5398"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Nacional</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Preços</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Consumidor</w:t>
            </w:r>
            <w:r w:rsidRPr="00D618CF">
              <w:rPr>
                <w:rFonts w:ascii="Arial" w:eastAsia="Calibri" w:hAnsi="Arial" w:cs="Arial"/>
                <w:spacing w:val="-3"/>
                <w:sz w:val="20"/>
                <w:szCs w:val="20"/>
                <w:lang w:val="pt-PT"/>
              </w:rPr>
              <w:t xml:space="preserve"> </w:t>
            </w:r>
            <w:r w:rsidRPr="00D618CF">
              <w:rPr>
                <w:rFonts w:ascii="Arial" w:eastAsia="Calibri" w:hAnsi="Arial" w:cs="Arial"/>
                <w:spacing w:val="-4"/>
                <w:sz w:val="20"/>
                <w:szCs w:val="20"/>
                <w:lang w:val="pt-PT"/>
              </w:rPr>
              <w:t>Amplo</w:t>
            </w:r>
          </w:p>
          <w:p w14:paraId="4C6CAF68"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IPCA,</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divulgado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pelo</w:t>
            </w:r>
            <w:r w:rsidRPr="00D618CF">
              <w:rPr>
                <w:rFonts w:ascii="Arial" w:eastAsia="Calibri" w:hAnsi="Arial" w:cs="Arial"/>
                <w:spacing w:val="-4"/>
                <w:sz w:val="20"/>
                <w:szCs w:val="20"/>
                <w:lang w:val="pt-PT"/>
              </w:rPr>
              <w:t xml:space="preserve"> IBGE</w:t>
            </w:r>
          </w:p>
        </w:tc>
      </w:tr>
      <w:tr w:rsidR="00EE2C48" w14:paraId="407FBEA1" w14:textId="77777777" w:rsidTr="009159D4">
        <w:trPr>
          <w:trHeight w:val="537"/>
        </w:trPr>
        <w:tc>
          <w:tcPr>
            <w:tcW w:w="4126" w:type="dxa"/>
            <w:tcBorders>
              <w:top w:val="single" w:sz="4" w:space="0" w:color="000000"/>
              <w:bottom w:val="single" w:sz="4" w:space="0" w:color="000000"/>
              <w:right w:val="single" w:sz="4" w:space="0" w:color="000000"/>
            </w:tcBorders>
          </w:tcPr>
          <w:p w14:paraId="7CA39D9F"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Custos</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com</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Veículos</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Operacionais</w:t>
            </w:r>
          </w:p>
        </w:tc>
        <w:tc>
          <w:tcPr>
            <w:tcW w:w="4961" w:type="dxa"/>
            <w:tcBorders>
              <w:top w:val="single" w:sz="4" w:space="0" w:color="000000"/>
              <w:left w:val="single" w:sz="4" w:space="0" w:color="000000"/>
              <w:bottom w:val="single" w:sz="4" w:space="0" w:color="000000"/>
            </w:tcBorders>
          </w:tcPr>
          <w:p w14:paraId="2BE2C930"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Nacional</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Preços</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Consumidor</w:t>
            </w:r>
            <w:r w:rsidRPr="00D618CF">
              <w:rPr>
                <w:rFonts w:ascii="Arial" w:eastAsia="Calibri" w:hAnsi="Arial" w:cs="Arial"/>
                <w:spacing w:val="-3"/>
                <w:sz w:val="20"/>
                <w:szCs w:val="20"/>
                <w:lang w:val="pt-PT"/>
              </w:rPr>
              <w:t xml:space="preserve"> </w:t>
            </w:r>
            <w:r w:rsidRPr="00D618CF">
              <w:rPr>
                <w:rFonts w:ascii="Arial" w:eastAsia="Calibri" w:hAnsi="Arial" w:cs="Arial"/>
                <w:spacing w:val="-4"/>
                <w:sz w:val="20"/>
                <w:szCs w:val="20"/>
                <w:lang w:val="pt-PT"/>
              </w:rPr>
              <w:t>Amplo</w:t>
            </w:r>
          </w:p>
          <w:p w14:paraId="364CEF29"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IPCA,</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divulgado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pelo</w:t>
            </w:r>
            <w:r w:rsidRPr="00D618CF">
              <w:rPr>
                <w:rFonts w:ascii="Arial" w:eastAsia="Calibri" w:hAnsi="Arial" w:cs="Arial"/>
                <w:spacing w:val="-4"/>
                <w:sz w:val="20"/>
                <w:szCs w:val="20"/>
                <w:lang w:val="pt-PT"/>
              </w:rPr>
              <w:t xml:space="preserve"> IBGE</w:t>
            </w:r>
          </w:p>
        </w:tc>
      </w:tr>
      <w:tr w:rsidR="00EE2C48" w14:paraId="516065D4" w14:textId="77777777" w:rsidTr="009159D4">
        <w:trPr>
          <w:trHeight w:val="537"/>
        </w:trPr>
        <w:tc>
          <w:tcPr>
            <w:tcW w:w="4126" w:type="dxa"/>
            <w:tcBorders>
              <w:top w:val="single" w:sz="4" w:space="0" w:color="000000"/>
              <w:bottom w:val="single" w:sz="4" w:space="0" w:color="000000"/>
              <w:right w:val="single" w:sz="4" w:space="0" w:color="000000"/>
            </w:tcBorders>
          </w:tcPr>
          <w:p w14:paraId="7FC0EBF1"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Outros</w:t>
            </w:r>
            <w:r w:rsidRPr="00D618CF">
              <w:rPr>
                <w:rFonts w:ascii="Arial" w:eastAsia="Calibri" w:hAnsi="Arial" w:cs="Arial"/>
                <w:spacing w:val="-7"/>
                <w:sz w:val="20"/>
                <w:szCs w:val="20"/>
                <w:lang w:val="pt-PT"/>
              </w:rPr>
              <w:t xml:space="preserve"> </w:t>
            </w:r>
            <w:r w:rsidRPr="00D618CF">
              <w:rPr>
                <w:rFonts w:ascii="Arial" w:eastAsia="Calibri" w:hAnsi="Arial" w:cs="Arial"/>
                <w:sz w:val="20"/>
                <w:szCs w:val="20"/>
                <w:lang w:val="pt-PT"/>
              </w:rPr>
              <w:t>Custos</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Operacionais</w:t>
            </w:r>
          </w:p>
        </w:tc>
        <w:tc>
          <w:tcPr>
            <w:tcW w:w="4961" w:type="dxa"/>
            <w:tcBorders>
              <w:top w:val="single" w:sz="4" w:space="0" w:color="000000"/>
              <w:left w:val="single" w:sz="4" w:space="0" w:color="000000"/>
              <w:bottom w:val="single" w:sz="4" w:space="0" w:color="000000"/>
            </w:tcBorders>
          </w:tcPr>
          <w:p w14:paraId="27288B5E"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Nacional</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Preços</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Consumidor</w:t>
            </w:r>
            <w:r w:rsidRPr="00D618CF">
              <w:rPr>
                <w:rFonts w:ascii="Arial" w:eastAsia="Calibri" w:hAnsi="Arial" w:cs="Arial"/>
                <w:spacing w:val="-3"/>
                <w:sz w:val="20"/>
                <w:szCs w:val="20"/>
                <w:lang w:val="pt-PT"/>
              </w:rPr>
              <w:t xml:space="preserve"> </w:t>
            </w:r>
            <w:r w:rsidRPr="00D618CF">
              <w:rPr>
                <w:rFonts w:ascii="Arial" w:eastAsia="Calibri" w:hAnsi="Arial" w:cs="Arial"/>
                <w:spacing w:val="-4"/>
                <w:sz w:val="20"/>
                <w:szCs w:val="20"/>
                <w:lang w:val="pt-PT"/>
              </w:rPr>
              <w:t>Amplo</w:t>
            </w:r>
          </w:p>
          <w:p w14:paraId="597750B7"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IPCA,</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divulgado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pelo</w:t>
            </w:r>
            <w:r w:rsidRPr="00D618CF">
              <w:rPr>
                <w:rFonts w:ascii="Arial" w:eastAsia="Calibri" w:hAnsi="Arial" w:cs="Arial"/>
                <w:spacing w:val="-4"/>
                <w:sz w:val="20"/>
                <w:szCs w:val="20"/>
                <w:lang w:val="pt-PT"/>
              </w:rPr>
              <w:t xml:space="preserve"> IBGE</w:t>
            </w:r>
          </w:p>
        </w:tc>
      </w:tr>
      <w:tr w:rsidR="00EE2C48" w14:paraId="5203EB06" w14:textId="77777777" w:rsidTr="009159D4">
        <w:trPr>
          <w:trHeight w:val="537"/>
        </w:trPr>
        <w:tc>
          <w:tcPr>
            <w:tcW w:w="4126" w:type="dxa"/>
            <w:tcBorders>
              <w:top w:val="single" w:sz="4" w:space="0" w:color="000000"/>
              <w:bottom w:val="single" w:sz="4" w:space="0" w:color="000000"/>
              <w:right w:val="single" w:sz="4" w:space="0" w:color="000000"/>
            </w:tcBorders>
          </w:tcPr>
          <w:p w14:paraId="7A2F5EB0"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Despesas</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Comerciais</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e</w:t>
            </w:r>
            <w:r w:rsidRPr="00D618CF">
              <w:rPr>
                <w:rFonts w:ascii="Arial" w:eastAsia="Calibri" w:hAnsi="Arial" w:cs="Arial"/>
                <w:spacing w:val="-1"/>
                <w:sz w:val="20"/>
                <w:szCs w:val="20"/>
                <w:lang w:val="pt-PT"/>
              </w:rPr>
              <w:t xml:space="preserve"> </w:t>
            </w:r>
            <w:r w:rsidRPr="00D618CF">
              <w:rPr>
                <w:rFonts w:ascii="Arial" w:eastAsia="Calibri" w:hAnsi="Arial" w:cs="Arial"/>
                <w:spacing w:val="-2"/>
                <w:sz w:val="20"/>
                <w:szCs w:val="20"/>
                <w:lang w:val="pt-PT"/>
              </w:rPr>
              <w:t>Administrativas</w:t>
            </w:r>
          </w:p>
        </w:tc>
        <w:tc>
          <w:tcPr>
            <w:tcW w:w="4961" w:type="dxa"/>
            <w:tcBorders>
              <w:top w:val="single" w:sz="4" w:space="0" w:color="000000"/>
              <w:left w:val="single" w:sz="4" w:space="0" w:color="000000"/>
              <w:bottom w:val="single" w:sz="4" w:space="0" w:color="000000"/>
            </w:tcBorders>
          </w:tcPr>
          <w:p w14:paraId="06507CA1"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Nacional</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de</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Preços</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3"/>
                <w:sz w:val="20"/>
                <w:szCs w:val="20"/>
                <w:lang w:val="pt-PT"/>
              </w:rPr>
              <w:t xml:space="preserve"> </w:t>
            </w:r>
            <w:r w:rsidRPr="00D618CF">
              <w:rPr>
                <w:rFonts w:ascii="Arial" w:eastAsia="Calibri" w:hAnsi="Arial" w:cs="Arial"/>
                <w:sz w:val="20"/>
                <w:szCs w:val="20"/>
                <w:lang w:val="pt-PT"/>
              </w:rPr>
              <w:t>Consumidor</w:t>
            </w:r>
            <w:r w:rsidRPr="00D618CF">
              <w:rPr>
                <w:rFonts w:ascii="Arial" w:eastAsia="Calibri" w:hAnsi="Arial" w:cs="Arial"/>
                <w:spacing w:val="-3"/>
                <w:sz w:val="20"/>
                <w:szCs w:val="20"/>
                <w:lang w:val="pt-PT"/>
              </w:rPr>
              <w:t xml:space="preserve"> </w:t>
            </w:r>
            <w:r w:rsidRPr="00D618CF">
              <w:rPr>
                <w:rFonts w:ascii="Arial" w:eastAsia="Calibri" w:hAnsi="Arial" w:cs="Arial"/>
                <w:spacing w:val="-4"/>
                <w:sz w:val="20"/>
                <w:szCs w:val="20"/>
                <w:lang w:val="pt-PT"/>
              </w:rPr>
              <w:t>Amplo</w:t>
            </w:r>
          </w:p>
          <w:p w14:paraId="58C9D52C"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w:t>
            </w:r>
            <w:r w:rsidRPr="00D618CF">
              <w:rPr>
                <w:rFonts w:ascii="Arial" w:eastAsia="Calibri" w:hAnsi="Arial" w:cs="Arial"/>
                <w:spacing w:val="-2"/>
                <w:sz w:val="20"/>
                <w:szCs w:val="20"/>
                <w:lang w:val="pt-PT"/>
              </w:rPr>
              <w:t xml:space="preserve"> </w:t>
            </w:r>
            <w:r w:rsidRPr="00D618CF">
              <w:rPr>
                <w:rFonts w:ascii="Arial" w:eastAsia="Calibri" w:hAnsi="Arial" w:cs="Arial"/>
                <w:sz w:val="20"/>
                <w:szCs w:val="20"/>
                <w:lang w:val="pt-PT"/>
              </w:rPr>
              <w:t>IPCA,</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divulgado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pelo</w:t>
            </w:r>
            <w:r w:rsidRPr="00D618CF">
              <w:rPr>
                <w:rFonts w:ascii="Arial" w:eastAsia="Calibri" w:hAnsi="Arial" w:cs="Arial"/>
                <w:spacing w:val="-4"/>
                <w:sz w:val="20"/>
                <w:szCs w:val="20"/>
                <w:lang w:val="pt-PT"/>
              </w:rPr>
              <w:t xml:space="preserve"> IBGE</w:t>
            </w:r>
          </w:p>
        </w:tc>
      </w:tr>
      <w:tr w:rsidR="00EE2C48" w14:paraId="08160E26" w14:textId="77777777" w:rsidTr="009159D4">
        <w:trPr>
          <w:trHeight w:val="537"/>
        </w:trPr>
        <w:tc>
          <w:tcPr>
            <w:tcW w:w="4126" w:type="dxa"/>
            <w:tcBorders>
              <w:top w:val="single" w:sz="4" w:space="0" w:color="000000"/>
              <w:bottom w:val="single" w:sz="4" w:space="0" w:color="000000"/>
              <w:right w:val="single" w:sz="4" w:space="0" w:color="000000"/>
            </w:tcBorders>
          </w:tcPr>
          <w:p w14:paraId="7B5C308C"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pacing w:val="-2"/>
                <w:sz w:val="20"/>
                <w:szCs w:val="20"/>
                <w:lang w:val="pt-PT"/>
              </w:rPr>
              <w:t>Investimentos</w:t>
            </w:r>
          </w:p>
        </w:tc>
        <w:tc>
          <w:tcPr>
            <w:tcW w:w="4961" w:type="dxa"/>
            <w:tcBorders>
              <w:top w:val="single" w:sz="4" w:space="0" w:color="000000"/>
              <w:left w:val="single" w:sz="4" w:space="0" w:color="000000"/>
              <w:bottom w:val="single" w:sz="4" w:space="0" w:color="000000"/>
            </w:tcBorders>
          </w:tcPr>
          <w:p w14:paraId="1ABF763B"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Índice</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referente</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ao</w:t>
            </w:r>
            <w:r w:rsidRPr="00D618CF">
              <w:rPr>
                <w:rFonts w:ascii="Arial" w:eastAsia="Calibri" w:hAnsi="Arial" w:cs="Arial"/>
                <w:spacing w:val="-6"/>
                <w:sz w:val="20"/>
                <w:szCs w:val="20"/>
                <w:lang w:val="pt-PT"/>
              </w:rPr>
              <w:t xml:space="preserve"> </w:t>
            </w:r>
            <w:r w:rsidRPr="00D618CF">
              <w:rPr>
                <w:rFonts w:ascii="Arial" w:eastAsia="Calibri" w:hAnsi="Arial" w:cs="Arial"/>
                <w:sz w:val="20"/>
                <w:szCs w:val="20"/>
                <w:lang w:val="pt-PT"/>
              </w:rPr>
              <w:t>componente</w:t>
            </w:r>
            <w:r w:rsidRPr="00D618CF">
              <w:rPr>
                <w:rFonts w:ascii="Arial" w:eastAsia="Calibri" w:hAnsi="Arial" w:cs="Arial"/>
                <w:spacing w:val="-2"/>
                <w:sz w:val="20"/>
                <w:szCs w:val="20"/>
                <w:lang w:val="pt-PT"/>
              </w:rPr>
              <w:t xml:space="preserve"> </w:t>
            </w:r>
            <w:r w:rsidRPr="00D618CF">
              <w:rPr>
                <w:rFonts w:ascii="Arial" w:eastAsia="Calibri" w:hAnsi="Arial" w:cs="Arial"/>
                <w:spacing w:val="-5"/>
                <w:sz w:val="20"/>
                <w:szCs w:val="20"/>
                <w:lang w:val="pt-PT"/>
              </w:rPr>
              <w:t>de</w:t>
            </w:r>
          </w:p>
          <w:p w14:paraId="3E276337" w14:textId="77777777" w:rsidR="00EE2C48" w:rsidRPr="00D618CF" w:rsidRDefault="00EE2C48" w:rsidP="009159D4">
            <w:pPr>
              <w:spacing w:line="360" w:lineRule="auto"/>
              <w:jc w:val="center"/>
              <w:rPr>
                <w:rFonts w:ascii="Arial" w:eastAsia="Calibri" w:hAnsi="Arial" w:cs="Arial"/>
                <w:sz w:val="20"/>
                <w:szCs w:val="20"/>
                <w:lang w:val="pt-PT"/>
              </w:rPr>
            </w:pPr>
            <w:r w:rsidRPr="00D618CF">
              <w:rPr>
                <w:rFonts w:ascii="Arial" w:eastAsia="Calibri" w:hAnsi="Arial" w:cs="Arial"/>
                <w:sz w:val="20"/>
                <w:szCs w:val="20"/>
                <w:lang w:val="pt-PT"/>
              </w:rPr>
              <w:t>investimentos</w:t>
            </w:r>
            <w:r w:rsidRPr="00D618CF">
              <w:rPr>
                <w:rFonts w:ascii="Arial" w:eastAsia="Calibri" w:hAnsi="Arial" w:cs="Arial"/>
                <w:spacing w:val="-8"/>
                <w:sz w:val="20"/>
                <w:szCs w:val="20"/>
                <w:lang w:val="pt-PT"/>
              </w:rPr>
              <w:t xml:space="preserve"> </w:t>
            </w:r>
            <w:r w:rsidRPr="00D618CF">
              <w:rPr>
                <w:rFonts w:ascii="Arial" w:eastAsia="Calibri" w:hAnsi="Arial" w:cs="Arial"/>
                <w:sz w:val="20"/>
                <w:szCs w:val="20"/>
                <w:lang w:val="pt-PT"/>
              </w:rPr>
              <w:t>do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IRC</w:t>
            </w:r>
            <w:r w:rsidRPr="00D618CF">
              <w:rPr>
                <w:rFonts w:ascii="Arial" w:eastAsia="Calibri" w:hAnsi="Arial" w:cs="Arial"/>
                <w:spacing w:val="-5"/>
                <w:sz w:val="20"/>
                <w:szCs w:val="20"/>
                <w:lang w:val="pt-PT"/>
              </w:rPr>
              <w:t xml:space="preserve"> </w:t>
            </w:r>
            <w:r w:rsidRPr="00D618CF">
              <w:rPr>
                <w:rFonts w:ascii="Arial" w:eastAsia="Calibri" w:hAnsi="Arial" w:cs="Arial"/>
                <w:sz w:val="20"/>
                <w:szCs w:val="20"/>
                <w:lang w:val="pt-PT"/>
              </w:rPr>
              <w:t>previsto</w:t>
            </w:r>
            <w:r w:rsidRPr="00D618CF">
              <w:rPr>
                <w:rFonts w:ascii="Arial" w:eastAsia="Calibri" w:hAnsi="Arial" w:cs="Arial"/>
                <w:spacing w:val="-4"/>
                <w:sz w:val="20"/>
                <w:szCs w:val="20"/>
                <w:lang w:val="pt-PT"/>
              </w:rPr>
              <w:t xml:space="preserve"> </w:t>
            </w:r>
            <w:r w:rsidRPr="00D618CF">
              <w:rPr>
                <w:rFonts w:ascii="Arial" w:eastAsia="Calibri" w:hAnsi="Arial" w:cs="Arial"/>
                <w:sz w:val="20"/>
                <w:szCs w:val="20"/>
                <w:lang w:val="pt-PT"/>
              </w:rPr>
              <w:t>no</w:t>
            </w:r>
            <w:r w:rsidRPr="00D618CF">
              <w:rPr>
                <w:rFonts w:ascii="Arial" w:eastAsia="Calibri" w:hAnsi="Arial" w:cs="Arial"/>
                <w:spacing w:val="-3"/>
                <w:sz w:val="20"/>
                <w:szCs w:val="20"/>
                <w:lang w:val="pt-PT"/>
              </w:rPr>
              <w:t xml:space="preserve"> </w:t>
            </w:r>
            <w:r w:rsidRPr="00D618CF">
              <w:rPr>
                <w:rFonts w:ascii="Arial" w:eastAsia="Calibri" w:hAnsi="Arial" w:cs="Arial"/>
                <w:spacing w:val="-2"/>
                <w:sz w:val="20"/>
                <w:szCs w:val="20"/>
                <w:lang w:val="pt-PT"/>
              </w:rPr>
              <w:t>CONTRATO</w:t>
            </w:r>
          </w:p>
        </w:tc>
      </w:tr>
    </w:tbl>
    <w:p w14:paraId="51298120"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lang w:val="pt-PT"/>
        </w:rPr>
      </w:pPr>
    </w:p>
    <w:p w14:paraId="404B80BE"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Os itens anteriormente citados neste Anexo e não previstos na tabela acima são derivados de um dos itens já definidos e, portanto, serão calculados a partir dos valores já atualizados. </w:t>
      </w:r>
    </w:p>
    <w:p w14:paraId="2B96C3E1"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Na falta de previsão de um índice de atualização, deverá ser adotado como padrão o Índice Nacional de Preços ao Consumidor Amplo – IPCA, divulgado pelo IBGE. </w:t>
      </w:r>
    </w:p>
    <w:p w14:paraId="51E553D2" w14:textId="77777777" w:rsidR="00EE2C48" w:rsidRPr="00693B63" w:rsidRDefault="00EE2C48" w:rsidP="00EE2C48">
      <w:pPr>
        <w:widowControl w:val="0"/>
        <w:tabs>
          <w:tab w:val="left" w:pos="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Caso uma das PARTES queira utilizar um índice de atualização diverso dos </w:t>
      </w:r>
      <w:r w:rsidRPr="00693B63">
        <w:rPr>
          <w:rFonts w:ascii="Arial" w:eastAsia="Calibri" w:hAnsi="Arial" w:cs="Arial"/>
          <w:sz w:val="24"/>
          <w:szCs w:val="24"/>
        </w:rPr>
        <w:lastRenderedPageBreak/>
        <w:t>previstos acima, deverá fundamentar tecnicamente sua escolha, cabendo à ENTIDADE REGULADORA E FISCALIZADORA acatar ou não a utilização dessa alternativa.</w:t>
      </w:r>
    </w:p>
    <w:p w14:paraId="65CD8B42" w14:textId="77777777" w:rsidR="00EE2C48" w:rsidRPr="00693B63" w:rsidRDefault="00EE2C48" w:rsidP="00EE2C48">
      <w:pPr>
        <w:widowControl w:val="0"/>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br w:type="page"/>
      </w:r>
    </w:p>
    <w:p w14:paraId="1964595E" w14:textId="77777777" w:rsidR="00EE2C48" w:rsidRPr="00693B63" w:rsidRDefault="00EE2C48" w:rsidP="00EE2C48">
      <w:pPr>
        <w:pStyle w:val="Ttulo3"/>
        <w:spacing w:before="0" w:line="360" w:lineRule="auto"/>
        <w:jc w:val="center"/>
        <w:rPr>
          <w:rFonts w:cs="Arial"/>
        </w:rPr>
      </w:pPr>
    </w:p>
    <w:p w14:paraId="79EB6510" w14:textId="77777777" w:rsidR="009B31FA" w:rsidRPr="00EE2C48" w:rsidRDefault="009B31FA" w:rsidP="00EE2C48"/>
    <w:sectPr w:rsidR="009B31FA" w:rsidRPr="00EE2C48" w:rsidSect="00EE2C48">
      <w:headerReference w:type="default" r:id="rId10"/>
      <w:footerReference w:type="default" r:id="rId11"/>
      <w:footnotePr>
        <w:numStart w:val="33"/>
      </w:footnotePr>
      <w:pgSz w:w="11910" w:h="16840"/>
      <w:pgMar w:top="1701" w:right="1134" w:bottom="1134" w:left="1701" w:header="72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1E1F" w14:textId="77777777" w:rsidR="009E0B0F" w:rsidRDefault="009E0B0F">
      <w:pPr>
        <w:spacing w:after="0" w:line="240" w:lineRule="auto"/>
      </w:pPr>
      <w:r>
        <w:separator/>
      </w:r>
    </w:p>
  </w:endnote>
  <w:endnote w:type="continuationSeparator" w:id="0">
    <w:p w14:paraId="1B6CEB54" w14:textId="77777777" w:rsidR="009E0B0F" w:rsidRDefault="009E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874425845"/>
    </w:sdtPr>
    <w:sdtEndPr/>
    <w:sdtContent>
      <w:p w14:paraId="27A293EA" w14:textId="77777777" w:rsidR="00EE2C48" w:rsidRDefault="00EE2C48">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299</w:t>
        </w:r>
        <w:r>
          <w:rPr>
            <w:rFonts w:ascii="Arial" w:hAnsi="Arial" w:cs="Arial"/>
            <w:sz w:val="20"/>
            <w:szCs w:val="20"/>
          </w:rPr>
          <w:fldChar w:fldCharType="end"/>
        </w:r>
      </w:p>
    </w:sdtContent>
  </w:sdt>
  <w:p w14:paraId="231151D9" w14:textId="77777777" w:rsidR="00EE2C48" w:rsidRDefault="00EE2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20EE" w14:textId="77777777" w:rsidR="009E0B0F" w:rsidRDefault="009E0B0F">
      <w:pPr>
        <w:spacing w:after="0" w:line="240" w:lineRule="auto"/>
      </w:pPr>
      <w:r>
        <w:separator/>
      </w:r>
    </w:p>
  </w:footnote>
  <w:footnote w:type="continuationSeparator" w:id="0">
    <w:p w14:paraId="07636323" w14:textId="77777777" w:rsidR="009E0B0F" w:rsidRDefault="009E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1E53" w14:textId="77777777" w:rsidR="00EE2C48" w:rsidRDefault="00EE2C48">
    <w:pPr>
      <w:pStyle w:val="Corpodetexto"/>
      <w:spacing w:line="14" w:lineRule="auto"/>
      <w:rPr>
        <w:sz w:val="20"/>
      </w:rPr>
    </w:pPr>
  </w:p>
  <w:p w14:paraId="5A293250" w14:textId="77777777" w:rsidR="00EE2C48" w:rsidRDefault="00EE2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2E7A585C">
      <w:start w:val="11"/>
      <w:numFmt w:val="upperRoman"/>
      <w:lvlText w:val="%1."/>
      <w:lvlJc w:val="left"/>
      <w:pPr>
        <w:ind w:left="1080" w:hanging="720"/>
      </w:pPr>
      <w:rPr>
        <w:rFonts w:hint="default"/>
      </w:rPr>
    </w:lvl>
    <w:lvl w:ilvl="1" w:tplc="47CE04A4" w:tentative="1">
      <w:start w:val="1"/>
      <w:numFmt w:val="lowerLetter"/>
      <w:lvlText w:val="%2."/>
      <w:lvlJc w:val="left"/>
      <w:pPr>
        <w:ind w:left="1440" w:hanging="360"/>
      </w:pPr>
    </w:lvl>
    <w:lvl w:ilvl="2" w:tplc="57527F62" w:tentative="1">
      <w:start w:val="1"/>
      <w:numFmt w:val="lowerRoman"/>
      <w:lvlText w:val="%3."/>
      <w:lvlJc w:val="right"/>
      <w:pPr>
        <w:ind w:left="2160" w:hanging="180"/>
      </w:pPr>
    </w:lvl>
    <w:lvl w:ilvl="3" w:tplc="69682E38" w:tentative="1">
      <w:start w:val="1"/>
      <w:numFmt w:val="decimal"/>
      <w:lvlText w:val="%4."/>
      <w:lvlJc w:val="left"/>
      <w:pPr>
        <w:ind w:left="2880" w:hanging="360"/>
      </w:pPr>
    </w:lvl>
    <w:lvl w:ilvl="4" w:tplc="92A66A00" w:tentative="1">
      <w:start w:val="1"/>
      <w:numFmt w:val="lowerLetter"/>
      <w:lvlText w:val="%5."/>
      <w:lvlJc w:val="left"/>
      <w:pPr>
        <w:ind w:left="3600" w:hanging="360"/>
      </w:pPr>
    </w:lvl>
    <w:lvl w:ilvl="5" w:tplc="E7E49B78" w:tentative="1">
      <w:start w:val="1"/>
      <w:numFmt w:val="lowerRoman"/>
      <w:lvlText w:val="%6."/>
      <w:lvlJc w:val="right"/>
      <w:pPr>
        <w:ind w:left="4320" w:hanging="180"/>
      </w:pPr>
    </w:lvl>
    <w:lvl w:ilvl="6" w:tplc="ECE0CC16" w:tentative="1">
      <w:start w:val="1"/>
      <w:numFmt w:val="decimal"/>
      <w:lvlText w:val="%7."/>
      <w:lvlJc w:val="left"/>
      <w:pPr>
        <w:ind w:left="5040" w:hanging="360"/>
      </w:pPr>
    </w:lvl>
    <w:lvl w:ilvl="7" w:tplc="F42E50AC" w:tentative="1">
      <w:start w:val="1"/>
      <w:numFmt w:val="lowerLetter"/>
      <w:lvlText w:val="%8."/>
      <w:lvlJc w:val="left"/>
      <w:pPr>
        <w:ind w:left="5760" w:hanging="360"/>
      </w:pPr>
    </w:lvl>
    <w:lvl w:ilvl="8" w:tplc="6026F042"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B97AEC14">
      <w:start w:val="1"/>
      <w:numFmt w:val="upperRoman"/>
      <w:lvlText w:val="%1."/>
      <w:lvlJc w:val="left"/>
      <w:pPr>
        <w:ind w:left="1080" w:hanging="720"/>
      </w:pPr>
      <w:rPr>
        <w:rFonts w:hint="default"/>
      </w:rPr>
    </w:lvl>
    <w:lvl w:ilvl="1" w:tplc="3836E702" w:tentative="1">
      <w:start w:val="1"/>
      <w:numFmt w:val="lowerLetter"/>
      <w:lvlText w:val="%2."/>
      <w:lvlJc w:val="left"/>
      <w:pPr>
        <w:ind w:left="1440" w:hanging="360"/>
      </w:pPr>
    </w:lvl>
    <w:lvl w:ilvl="2" w:tplc="C9647D42" w:tentative="1">
      <w:start w:val="1"/>
      <w:numFmt w:val="lowerRoman"/>
      <w:lvlText w:val="%3."/>
      <w:lvlJc w:val="right"/>
      <w:pPr>
        <w:ind w:left="2160" w:hanging="180"/>
      </w:pPr>
    </w:lvl>
    <w:lvl w:ilvl="3" w:tplc="A9A0D28E" w:tentative="1">
      <w:start w:val="1"/>
      <w:numFmt w:val="decimal"/>
      <w:lvlText w:val="%4."/>
      <w:lvlJc w:val="left"/>
      <w:pPr>
        <w:ind w:left="2880" w:hanging="360"/>
      </w:pPr>
    </w:lvl>
    <w:lvl w:ilvl="4" w:tplc="51909350" w:tentative="1">
      <w:start w:val="1"/>
      <w:numFmt w:val="lowerLetter"/>
      <w:lvlText w:val="%5."/>
      <w:lvlJc w:val="left"/>
      <w:pPr>
        <w:ind w:left="3600" w:hanging="360"/>
      </w:pPr>
    </w:lvl>
    <w:lvl w:ilvl="5" w:tplc="11788896" w:tentative="1">
      <w:start w:val="1"/>
      <w:numFmt w:val="lowerRoman"/>
      <w:lvlText w:val="%6."/>
      <w:lvlJc w:val="right"/>
      <w:pPr>
        <w:ind w:left="4320" w:hanging="180"/>
      </w:pPr>
    </w:lvl>
    <w:lvl w:ilvl="6" w:tplc="6E96FE28" w:tentative="1">
      <w:start w:val="1"/>
      <w:numFmt w:val="decimal"/>
      <w:lvlText w:val="%7."/>
      <w:lvlJc w:val="left"/>
      <w:pPr>
        <w:ind w:left="5040" w:hanging="360"/>
      </w:pPr>
    </w:lvl>
    <w:lvl w:ilvl="7" w:tplc="ECC00B7C" w:tentative="1">
      <w:start w:val="1"/>
      <w:numFmt w:val="lowerLetter"/>
      <w:lvlText w:val="%8."/>
      <w:lvlJc w:val="left"/>
      <w:pPr>
        <w:ind w:left="5760" w:hanging="360"/>
      </w:pPr>
    </w:lvl>
    <w:lvl w:ilvl="8" w:tplc="03308262"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A300BC24">
      <w:start w:val="1"/>
      <w:numFmt w:val="lowerLetter"/>
      <w:lvlText w:val="%1)"/>
      <w:lvlJc w:val="left"/>
      <w:pPr>
        <w:ind w:left="1068" w:hanging="360"/>
      </w:pPr>
      <w:rPr>
        <w:rFonts w:hint="default"/>
        <w:b/>
        <w:bCs/>
      </w:rPr>
    </w:lvl>
    <w:lvl w:ilvl="1" w:tplc="3B187D88" w:tentative="1">
      <w:start w:val="1"/>
      <w:numFmt w:val="lowerLetter"/>
      <w:lvlText w:val="%2."/>
      <w:lvlJc w:val="left"/>
      <w:pPr>
        <w:ind w:left="1788" w:hanging="360"/>
      </w:pPr>
    </w:lvl>
    <w:lvl w:ilvl="2" w:tplc="44B4FD56" w:tentative="1">
      <w:start w:val="1"/>
      <w:numFmt w:val="lowerRoman"/>
      <w:lvlText w:val="%3."/>
      <w:lvlJc w:val="right"/>
      <w:pPr>
        <w:ind w:left="2508" w:hanging="180"/>
      </w:pPr>
    </w:lvl>
    <w:lvl w:ilvl="3" w:tplc="5DE44D4A" w:tentative="1">
      <w:start w:val="1"/>
      <w:numFmt w:val="decimal"/>
      <w:lvlText w:val="%4."/>
      <w:lvlJc w:val="left"/>
      <w:pPr>
        <w:ind w:left="3228" w:hanging="360"/>
      </w:pPr>
    </w:lvl>
    <w:lvl w:ilvl="4" w:tplc="7DFA3C28" w:tentative="1">
      <w:start w:val="1"/>
      <w:numFmt w:val="lowerLetter"/>
      <w:lvlText w:val="%5."/>
      <w:lvlJc w:val="left"/>
      <w:pPr>
        <w:ind w:left="3948" w:hanging="360"/>
      </w:pPr>
    </w:lvl>
    <w:lvl w:ilvl="5" w:tplc="5A54E42E" w:tentative="1">
      <w:start w:val="1"/>
      <w:numFmt w:val="lowerRoman"/>
      <w:lvlText w:val="%6."/>
      <w:lvlJc w:val="right"/>
      <w:pPr>
        <w:ind w:left="4668" w:hanging="180"/>
      </w:pPr>
    </w:lvl>
    <w:lvl w:ilvl="6" w:tplc="65CA52A2" w:tentative="1">
      <w:start w:val="1"/>
      <w:numFmt w:val="decimal"/>
      <w:lvlText w:val="%7."/>
      <w:lvlJc w:val="left"/>
      <w:pPr>
        <w:ind w:left="5388" w:hanging="360"/>
      </w:pPr>
    </w:lvl>
    <w:lvl w:ilvl="7" w:tplc="7C765A60" w:tentative="1">
      <w:start w:val="1"/>
      <w:numFmt w:val="lowerLetter"/>
      <w:lvlText w:val="%8."/>
      <w:lvlJc w:val="left"/>
      <w:pPr>
        <w:ind w:left="6108" w:hanging="360"/>
      </w:pPr>
    </w:lvl>
    <w:lvl w:ilvl="8" w:tplc="733A1418"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8EA4B55A">
      <w:start w:val="1"/>
      <w:numFmt w:val="bullet"/>
      <w:lvlText w:val=""/>
      <w:lvlJc w:val="left"/>
      <w:pPr>
        <w:ind w:left="720" w:hanging="360"/>
      </w:pPr>
      <w:rPr>
        <w:rFonts w:ascii="Wingdings" w:hAnsi="Wingdings" w:hint="default"/>
      </w:rPr>
    </w:lvl>
    <w:lvl w:ilvl="1" w:tplc="C5D4EC38">
      <w:numFmt w:val="bullet"/>
      <w:lvlText w:val="·"/>
      <w:lvlJc w:val="left"/>
      <w:pPr>
        <w:ind w:left="1440" w:hanging="360"/>
      </w:pPr>
      <w:rPr>
        <w:rFonts w:ascii="MS Mincho" w:eastAsia="MS Mincho" w:hAnsi="MS Mincho" w:cs="Times New Roman" w:hint="eastAsia"/>
      </w:rPr>
    </w:lvl>
    <w:lvl w:ilvl="2" w:tplc="E64A470C" w:tentative="1">
      <w:start w:val="1"/>
      <w:numFmt w:val="bullet"/>
      <w:lvlText w:val=""/>
      <w:lvlJc w:val="left"/>
      <w:pPr>
        <w:ind w:left="2160" w:hanging="360"/>
      </w:pPr>
      <w:rPr>
        <w:rFonts w:ascii="Wingdings" w:hAnsi="Wingdings" w:hint="default"/>
      </w:rPr>
    </w:lvl>
    <w:lvl w:ilvl="3" w:tplc="E312B89C" w:tentative="1">
      <w:start w:val="1"/>
      <w:numFmt w:val="bullet"/>
      <w:lvlText w:val=""/>
      <w:lvlJc w:val="left"/>
      <w:pPr>
        <w:ind w:left="2880" w:hanging="360"/>
      </w:pPr>
      <w:rPr>
        <w:rFonts w:ascii="Symbol" w:hAnsi="Symbol" w:hint="default"/>
      </w:rPr>
    </w:lvl>
    <w:lvl w:ilvl="4" w:tplc="BC20B656" w:tentative="1">
      <w:start w:val="1"/>
      <w:numFmt w:val="bullet"/>
      <w:lvlText w:val="o"/>
      <w:lvlJc w:val="left"/>
      <w:pPr>
        <w:ind w:left="3600" w:hanging="360"/>
      </w:pPr>
      <w:rPr>
        <w:rFonts w:ascii="Courier New" w:hAnsi="Courier New" w:cs="Courier New" w:hint="default"/>
      </w:rPr>
    </w:lvl>
    <w:lvl w:ilvl="5" w:tplc="91DC3146" w:tentative="1">
      <w:start w:val="1"/>
      <w:numFmt w:val="bullet"/>
      <w:lvlText w:val=""/>
      <w:lvlJc w:val="left"/>
      <w:pPr>
        <w:ind w:left="4320" w:hanging="360"/>
      </w:pPr>
      <w:rPr>
        <w:rFonts w:ascii="Wingdings" w:hAnsi="Wingdings" w:hint="default"/>
      </w:rPr>
    </w:lvl>
    <w:lvl w:ilvl="6" w:tplc="D060854A" w:tentative="1">
      <w:start w:val="1"/>
      <w:numFmt w:val="bullet"/>
      <w:lvlText w:val=""/>
      <w:lvlJc w:val="left"/>
      <w:pPr>
        <w:ind w:left="5040" w:hanging="360"/>
      </w:pPr>
      <w:rPr>
        <w:rFonts w:ascii="Symbol" w:hAnsi="Symbol" w:hint="default"/>
      </w:rPr>
    </w:lvl>
    <w:lvl w:ilvl="7" w:tplc="06A0ACB8" w:tentative="1">
      <w:start w:val="1"/>
      <w:numFmt w:val="bullet"/>
      <w:lvlText w:val="o"/>
      <w:lvlJc w:val="left"/>
      <w:pPr>
        <w:ind w:left="5760" w:hanging="360"/>
      </w:pPr>
      <w:rPr>
        <w:rFonts w:ascii="Courier New" w:hAnsi="Courier New" w:cs="Courier New" w:hint="default"/>
      </w:rPr>
    </w:lvl>
    <w:lvl w:ilvl="8" w:tplc="9A8A485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140EBA12">
      <w:start w:val="1"/>
      <w:numFmt w:val="bullet"/>
      <w:lvlText w:val=""/>
      <w:lvlJc w:val="left"/>
      <w:pPr>
        <w:ind w:left="720" w:hanging="360"/>
      </w:pPr>
      <w:rPr>
        <w:rFonts w:ascii="Wingdings" w:hAnsi="Wingdings" w:hint="default"/>
      </w:rPr>
    </w:lvl>
    <w:lvl w:ilvl="1" w:tplc="E9EC9C3A" w:tentative="1">
      <w:start w:val="1"/>
      <w:numFmt w:val="bullet"/>
      <w:lvlText w:val="o"/>
      <w:lvlJc w:val="left"/>
      <w:pPr>
        <w:ind w:left="1440" w:hanging="360"/>
      </w:pPr>
      <w:rPr>
        <w:rFonts w:ascii="Courier New" w:hAnsi="Courier New" w:cs="Courier New" w:hint="default"/>
      </w:rPr>
    </w:lvl>
    <w:lvl w:ilvl="2" w:tplc="E4E25490" w:tentative="1">
      <w:start w:val="1"/>
      <w:numFmt w:val="bullet"/>
      <w:lvlText w:val=""/>
      <w:lvlJc w:val="left"/>
      <w:pPr>
        <w:ind w:left="2160" w:hanging="360"/>
      </w:pPr>
      <w:rPr>
        <w:rFonts w:ascii="Wingdings" w:hAnsi="Wingdings" w:hint="default"/>
      </w:rPr>
    </w:lvl>
    <w:lvl w:ilvl="3" w:tplc="AD8E937C" w:tentative="1">
      <w:start w:val="1"/>
      <w:numFmt w:val="bullet"/>
      <w:lvlText w:val=""/>
      <w:lvlJc w:val="left"/>
      <w:pPr>
        <w:ind w:left="2880" w:hanging="360"/>
      </w:pPr>
      <w:rPr>
        <w:rFonts w:ascii="Symbol" w:hAnsi="Symbol" w:hint="default"/>
      </w:rPr>
    </w:lvl>
    <w:lvl w:ilvl="4" w:tplc="848EA680" w:tentative="1">
      <w:start w:val="1"/>
      <w:numFmt w:val="bullet"/>
      <w:lvlText w:val="o"/>
      <w:lvlJc w:val="left"/>
      <w:pPr>
        <w:ind w:left="3600" w:hanging="360"/>
      </w:pPr>
      <w:rPr>
        <w:rFonts w:ascii="Courier New" w:hAnsi="Courier New" w:cs="Courier New" w:hint="default"/>
      </w:rPr>
    </w:lvl>
    <w:lvl w:ilvl="5" w:tplc="1C2C3DF2" w:tentative="1">
      <w:start w:val="1"/>
      <w:numFmt w:val="bullet"/>
      <w:lvlText w:val=""/>
      <w:lvlJc w:val="left"/>
      <w:pPr>
        <w:ind w:left="4320" w:hanging="360"/>
      </w:pPr>
      <w:rPr>
        <w:rFonts w:ascii="Wingdings" w:hAnsi="Wingdings" w:hint="default"/>
      </w:rPr>
    </w:lvl>
    <w:lvl w:ilvl="6" w:tplc="FFF4E874" w:tentative="1">
      <w:start w:val="1"/>
      <w:numFmt w:val="bullet"/>
      <w:lvlText w:val=""/>
      <w:lvlJc w:val="left"/>
      <w:pPr>
        <w:ind w:left="5040" w:hanging="360"/>
      </w:pPr>
      <w:rPr>
        <w:rFonts w:ascii="Symbol" w:hAnsi="Symbol" w:hint="default"/>
      </w:rPr>
    </w:lvl>
    <w:lvl w:ilvl="7" w:tplc="58D8CE4C" w:tentative="1">
      <w:start w:val="1"/>
      <w:numFmt w:val="bullet"/>
      <w:lvlText w:val="o"/>
      <w:lvlJc w:val="left"/>
      <w:pPr>
        <w:ind w:left="5760" w:hanging="360"/>
      </w:pPr>
      <w:rPr>
        <w:rFonts w:ascii="Courier New" w:hAnsi="Courier New" w:cs="Courier New" w:hint="default"/>
      </w:rPr>
    </w:lvl>
    <w:lvl w:ilvl="8" w:tplc="B830C0B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A4DE77C6">
      <w:start w:val="1"/>
      <w:numFmt w:val="upperRoman"/>
      <w:lvlText w:val="%1."/>
      <w:lvlJc w:val="left"/>
      <w:pPr>
        <w:ind w:left="1080" w:hanging="720"/>
      </w:pPr>
      <w:rPr>
        <w:rFonts w:hint="default"/>
      </w:rPr>
    </w:lvl>
    <w:lvl w:ilvl="1" w:tplc="87F8B066" w:tentative="1">
      <w:start w:val="1"/>
      <w:numFmt w:val="lowerLetter"/>
      <w:lvlText w:val="%2."/>
      <w:lvlJc w:val="left"/>
      <w:pPr>
        <w:ind w:left="1440" w:hanging="360"/>
      </w:pPr>
    </w:lvl>
    <w:lvl w:ilvl="2" w:tplc="E2C653E6" w:tentative="1">
      <w:start w:val="1"/>
      <w:numFmt w:val="lowerRoman"/>
      <w:lvlText w:val="%3."/>
      <w:lvlJc w:val="right"/>
      <w:pPr>
        <w:ind w:left="2160" w:hanging="180"/>
      </w:pPr>
    </w:lvl>
    <w:lvl w:ilvl="3" w:tplc="350C8A74" w:tentative="1">
      <w:start w:val="1"/>
      <w:numFmt w:val="decimal"/>
      <w:lvlText w:val="%4."/>
      <w:lvlJc w:val="left"/>
      <w:pPr>
        <w:ind w:left="2880" w:hanging="360"/>
      </w:pPr>
    </w:lvl>
    <w:lvl w:ilvl="4" w:tplc="0204C360" w:tentative="1">
      <w:start w:val="1"/>
      <w:numFmt w:val="lowerLetter"/>
      <w:lvlText w:val="%5."/>
      <w:lvlJc w:val="left"/>
      <w:pPr>
        <w:ind w:left="3600" w:hanging="360"/>
      </w:pPr>
    </w:lvl>
    <w:lvl w:ilvl="5" w:tplc="EA30D4BA" w:tentative="1">
      <w:start w:val="1"/>
      <w:numFmt w:val="lowerRoman"/>
      <w:lvlText w:val="%6."/>
      <w:lvlJc w:val="right"/>
      <w:pPr>
        <w:ind w:left="4320" w:hanging="180"/>
      </w:pPr>
    </w:lvl>
    <w:lvl w:ilvl="6" w:tplc="79B0DB64" w:tentative="1">
      <w:start w:val="1"/>
      <w:numFmt w:val="decimal"/>
      <w:lvlText w:val="%7."/>
      <w:lvlJc w:val="left"/>
      <w:pPr>
        <w:ind w:left="5040" w:hanging="360"/>
      </w:pPr>
    </w:lvl>
    <w:lvl w:ilvl="7" w:tplc="13BC5E74" w:tentative="1">
      <w:start w:val="1"/>
      <w:numFmt w:val="lowerLetter"/>
      <w:lvlText w:val="%8."/>
      <w:lvlJc w:val="left"/>
      <w:pPr>
        <w:ind w:left="5760" w:hanging="360"/>
      </w:pPr>
    </w:lvl>
    <w:lvl w:ilvl="8" w:tplc="2058472C"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034CEA7A">
      <w:start w:val="14"/>
      <w:numFmt w:val="upperRoman"/>
      <w:lvlText w:val="%1."/>
      <w:lvlJc w:val="left"/>
      <w:pPr>
        <w:ind w:left="1080" w:hanging="720"/>
      </w:pPr>
      <w:rPr>
        <w:rFonts w:hint="default"/>
      </w:rPr>
    </w:lvl>
    <w:lvl w:ilvl="1" w:tplc="EE2CC17A" w:tentative="1">
      <w:start w:val="1"/>
      <w:numFmt w:val="lowerLetter"/>
      <w:lvlText w:val="%2."/>
      <w:lvlJc w:val="left"/>
      <w:pPr>
        <w:ind w:left="1440" w:hanging="360"/>
      </w:pPr>
    </w:lvl>
    <w:lvl w:ilvl="2" w:tplc="F5F09602" w:tentative="1">
      <w:start w:val="1"/>
      <w:numFmt w:val="lowerRoman"/>
      <w:lvlText w:val="%3."/>
      <w:lvlJc w:val="right"/>
      <w:pPr>
        <w:ind w:left="2160" w:hanging="180"/>
      </w:pPr>
    </w:lvl>
    <w:lvl w:ilvl="3" w:tplc="6C102592" w:tentative="1">
      <w:start w:val="1"/>
      <w:numFmt w:val="decimal"/>
      <w:lvlText w:val="%4."/>
      <w:lvlJc w:val="left"/>
      <w:pPr>
        <w:ind w:left="2880" w:hanging="360"/>
      </w:pPr>
    </w:lvl>
    <w:lvl w:ilvl="4" w:tplc="C9AA1DFC" w:tentative="1">
      <w:start w:val="1"/>
      <w:numFmt w:val="lowerLetter"/>
      <w:lvlText w:val="%5."/>
      <w:lvlJc w:val="left"/>
      <w:pPr>
        <w:ind w:left="3600" w:hanging="360"/>
      </w:pPr>
    </w:lvl>
    <w:lvl w:ilvl="5" w:tplc="D52206DC" w:tentative="1">
      <w:start w:val="1"/>
      <w:numFmt w:val="lowerRoman"/>
      <w:lvlText w:val="%6."/>
      <w:lvlJc w:val="right"/>
      <w:pPr>
        <w:ind w:left="4320" w:hanging="180"/>
      </w:pPr>
    </w:lvl>
    <w:lvl w:ilvl="6" w:tplc="62C6D446" w:tentative="1">
      <w:start w:val="1"/>
      <w:numFmt w:val="decimal"/>
      <w:lvlText w:val="%7."/>
      <w:lvlJc w:val="left"/>
      <w:pPr>
        <w:ind w:left="5040" w:hanging="360"/>
      </w:pPr>
    </w:lvl>
    <w:lvl w:ilvl="7" w:tplc="33A47D14" w:tentative="1">
      <w:start w:val="1"/>
      <w:numFmt w:val="lowerLetter"/>
      <w:lvlText w:val="%8."/>
      <w:lvlJc w:val="left"/>
      <w:pPr>
        <w:ind w:left="5760" w:hanging="360"/>
      </w:pPr>
    </w:lvl>
    <w:lvl w:ilvl="8" w:tplc="0DCA7986"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536A6788">
      <w:start w:val="12"/>
      <w:numFmt w:val="upperRoman"/>
      <w:lvlText w:val="%1."/>
      <w:lvlJc w:val="left"/>
      <w:pPr>
        <w:ind w:left="1080" w:hanging="720"/>
      </w:pPr>
      <w:rPr>
        <w:rFonts w:hint="default"/>
      </w:rPr>
    </w:lvl>
    <w:lvl w:ilvl="1" w:tplc="47CEFA3C" w:tentative="1">
      <w:start w:val="1"/>
      <w:numFmt w:val="lowerLetter"/>
      <w:lvlText w:val="%2."/>
      <w:lvlJc w:val="left"/>
      <w:pPr>
        <w:ind w:left="1440" w:hanging="360"/>
      </w:pPr>
    </w:lvl>
    <w:lvl w:ilvl="2" w:tplc="87C2960A" w:tentative="1">
      <w:start w:val="1"/>
      <w:numFmt w:val="lowerRoman"/>
      <w:lvlText w:val="%3."/>
      <w:lvlJc w:val="right"/>
      <w:pPr>
        <w:ind w:left="2160" w:hanging="180"/>
      </w:pPr>
    </w:lvl>
    <w:lvl w:ilvl="3" w:tplc="63984094" w:tentative="1">
      <w:start w:val="1"/>
      <w:numFmt w:val="decimal"/>
      <w:lvlText w:val="%4."/>
      <w:lvlJc w:val="left"/>
      <w:pPr>
        <w:ind w:left="2880" w:hanging="360"/>
      </w:pPr>
    </w:lvl>
    <w:lvl w:ilvl="4" w:tplc="CFFA4DA4" w:tentative="1">
      <w:start w:val="1"/>
      <w:numFmt w:val="lowerLetter"/>
      <w:lvlText w:val="%5."/>
      <w:lvlJc w:val="left"/>
      <w:pPr>
        <w:ind w:left="3600" w:hanging="360"/>
      </w:pPr>
    </w:lvl>
    <w:lvl w:ilvl="5" w:tplc="133C61AA" w:tentative="1">
      <w:start w:val="1"/>
      <w:numFmt w:val="lowerRoman"/>
      <w:lvlText w:val="%6."/>
      <w:lvlJc w:val="right"/>
      <w:pPr>
        <w:ind w:left="4320" w:hanging="180"/>
      </w:pPr>
    </w:lvl>
    <w:lvl w:ilvl="6" w:tplc="3288F980" w:tentative="1">
      <w:start w:val="1"/>
      <w:numFmt w:val="decimal"/>
      <w:lvlText w:val="%7."/>
      <w:lvlJc w:val="left"/>
      <w:pPr>
        <w:ind w:left="5040" w:hanging="360"/>
      </w:pPr>
    </w:lvl>
    <w:lvl w:ilvl="7" w:tplc="3D7C2696" w:tentative="1">
      <w:start w:val="1"/>
      <w:numFmt w:val="lowerLetter"/>
      <w:lvlText w:val="%8."/>
      <w:lvlJc w:val="left"/>
      <w:pPr>
        <w:ind w:left="5760" w:hanging="360"/>
      </w:pPr>
    </w:lvl>
    <w:lvl w:ilvl="8" w:tplc="B8680694"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66BCBD26">
      <w:start w:val="1"/>
      <w:numFmt w:val="decimal"/>
      <w:lvlText w:val="%1."/>
      <w:lvlJc w:val="left"/>
      <w:pPr>
        <w:ind w:left="720" w:hanging="360"/>
      </w:pPr>
      <w:rPr>
        <w:rFonts w:hint="default"/>
      </w:rPr>
    </w:lvl>
    <w:lvl w:ilvl="1" w:tplc="FDB23DE2">
      <w:numFmt w:val="bullet"/>
      <w:lvlText w:val="•"/>
      <w:lvlJc w:val="left"/>
      <w:pPr>
        <w:ind w:left="1785" w:hanging="705"/>
      </w:pPr>
      <w:rPr>
        <w:rFonts w:ascii="Arial" w:eastAsiaTheme="minorHAnsi" w:hAnsi="Arial" w:cs="Arial" w:hint="default"/>
      </w:rPr>
    </w:lvl>
    <w:lvl w:ilvl="2" w:tplc="71D20D28" w:tentative="1">
      <w:start w:val="1"/>
      <w:numFmt w:val="lowerRoman"/>
      <w:lvlText w:val="%3."/>
      <w:lvlJc w:val="right"/>
      <w:pPr>
        <w:ind w:left="2160" w:hanging="180"/>
      </w:pPr>
    </w:lvl>
    <w:lvl w:ilvl="3" w:tplc="3620F358" w:tentative="1">
      <w:start w:val="1"/>
      <w:numFmt w:val="decimal"/>
      <w:lvlText w:val="%4."/>
      <w:lvlJc w:val="left"/>
      <w:pPr>
        <w:ind w:left="2880" w:hanging="360"/>
      </w:pPr>
    </w:lvl>
    <w:lvl w:ilvl="4" w:tplc="311EA3B6" w:tentative="1">
      <w:start w:val="1"/>
      <w:numFmt w:val="lowerLetter"/>
      <w:lvlText w:val="%5."/>
      <w:lvlJc w:val="left"/>
      <w:pPr>
        <w:ind w:left="3600" w:hanging="360"/>
      </w:pPr>
    </w:lvl>
    <w:lvl w:ilvl="5" w:tplc="1966B26A" w:tentative="1">
      <w:start w:val="1"/>
      <w:numFmt w:val="lowerRoman"/>
      <w:lvlText w:val="%6."/>
      <w:lvlJc w:val="right"/>
      <w:pPr>
        <w:ind w:left="4320" w:hanging="180"/>
      </w:pPr>
    </w:lvl>
    <w:lvl w:ilvl="6" w:tplc="106EAEBC" w:tentative="1">
      <w:start w:val="1"/>
      <w:numFmt w:val="decimal"/>
      <w:lvlText w:val="%7."/>
      <w:lvlJc w:val="left"/>
      <w:pPr>
        <w:ind w:left="5040" w:hanging="360"/>
      </w:pPr>
    </w:lvl>
    <w:lvl w:ilvl="7" w:tplc="EC484154" w:tentative="1">
      <w:start w:val="1"/>
      <w:numFmt w:val="lowerLetter"/>
      <w:lvlText w:val="%8."/>
      <w:lvlJc w:val="left"/>
      <w:pPr>
        <w:ind w:left="5760" w:hanging="360"/>
      </w:pPr>
    </w:lvl>
    <w:lvl w:ilvl="8" w:tplc="8EA4A4E0"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A66C7E0">
      <w:start w:val="1"/>
      <w:numFmt w:val="upperRoman"/>
      <w:lvlText w:val="%1."/>
      <w:lvlJc w:val="right"/>
      <w:pPr>
        <w:ind w:left="1068" w:hanging="360"/>
      </w:pPr>
      <w:rPr>
        <w:rFonts w:hint="default"/>
      </w:rPr>
    </w:lvl>
    <w:lvl w:ilvl="1" w:tplc="769489D2" w:tentative="1">
      <w:start w:val="1"/>
      <w:numFmt w:val="lowerLetter"/>
      <w:lvlText w:val="%2."/>
      <w:lvlJc w:val="left"/>
      <w:pPr>
        <w:ind w:left="1788" w:hanging="360"/>
      </w:pPr>
    </w:lvl>
    <w:lvl w:ilvl="2" w:tplc="C52E0A42" w:tentative="1">
      <w:start w:val="1"/>
      <w:numFmt w:val="lowerRoman"/>
      <w:lvlText w:val="%3."/>
      <w:lvlJc w:val="right"/>
      <w:pPr>
        <w:ind w:left="2508" w:hanging="180"/>
      </w:pPr>
    </w:lvl>
    <w:lvl w:ilvl="3" w:tplc="BF6410A0" w:tentative="1">
      <w:start w:val="1"/>
      <w:numFmt w:val="decimal"/>
      <w:lvlText w:val="%4."/>
      <w:lvlJc w:val="left"/>
      <w:pPr>
        <w:ind w:left="3228" w:hanging="360"/>
      </w:pPr>
    </w:lvl>
    <w:lvl w:ilvl="4" w:tplc="3B42AAD0" w:tentative="1">
      <w:start w:val="1"/>
      <w:numFmt w:val="lowerLetter"/>
      <w:lvlText w:val="%5."/>
      <w:lvlJc w:val="left"/>
      <w:pPr>
        <w:ind w:left="3948" w:hanging="360"/>
      </w:pPr>
    </w:lvl>
    <w:lvl w:ilvl="5" w:tplc="5BECD2BE" w:tentative="1">
      <w:start w:val="1"/>
      <w:numFmt w:val="lowerRoman"/>
      <w:lvlText w:val="%6."/>
      <w:lvlJc w:val="right"/>
      <w:pPr>
        <w:ind w:left="4668" w:hanging="180"/>
      </w:pPr>
    </w:lvl>
    <w:lvl w:ilvl="6" w:tplc="3D9E643E" w:tentative="1">
      <w:start w:val="1"/>
      <w:numFmt w:val="decimal"/>
      <w:lvlText w:val="%7."/>
      <w:lvlJc w:val="left"/>
      <w:pPr>
        <w:ind w:left="5388" w:hanging="360"/>
      </w:pPr>
    </w:lvl>
    <w:lvl w:ilvl="7" w:tplc="14ECE26C" w:tentative="1">
      <w:start w:val="1"/>
      <w:numFmt w:val="lowerLetter"/>
      <w:lvlText w:val="%8."/>
      <w:lvlJc w:val="left"/>
      <w:pPr>
        <w:ind w:left="6108" w:hanging="360"/>
      </w:pPr>
    </w:lvl>
    <w:lvl w:ilvl="8" w:tplc="DA1AAB50"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3ED4D7E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025E296E">
      <w:numFmt w:val="bullet"/>
      <w:lvlText w:val="•"/>
      <w:lvlJc w:val="left"/>
      <w:pPr>
        <w:ind w:left="1718" w:hanging="360"/>
      </w:pPr>
      <w:rPr>
        <w:rFonts w:hint="default"/>
        <w:lang w:val="pt-PT" w:eastAsia="en-US" w:bidi="ar-SA"/>
      </w:rPr>
    </w:lvl>
    <w:lvl w:ilvl="2" w:tplc="E54666AE">
      <w:numFmt w:val="bullet"/>
      <w:lvlText w:val="•"/>
      <w:lvlJc w:val="left"/>
      <w:pPr>
        <w:ind w:left="2597" w:hanging="360"/>
      </w:pPr>
      <w:rPr>
        <w:rFonts w:hint="default"/>
        <w:lang w:val="pt-PT" w:eastAsia="en-US" w:bidi="ar-SA"/>
      </w:rPr>
    </w:lvl>
    <w:lvl w:ilvl="3" w:tplc="773803A2">
      <w:numFmt w:val="bullet"/>
      <w:lvlText w:val="•"/>
      <w:lvlJc w:val="left"/>
      <w:pPr>
        <w:ind w:left="3475" w:hanging="360"/>
      </w:pPr>
      <w:rPr>
        <w:rFonts w:hint="default"/>
        <w:lang w:val="pt-PT" w:eastAsia="en-US" w:bidi="ar-SA"/>
      </w:rPr>
    </w:lvl>
    <w:lvl w:ilvl="4" w:tplc="AF7CC0A8">
      <w:numFmt w:val="bullet"/>
      <w:lvlText w:val="•"/>
      <w:lvlJc w:val="left"/>
      <w:pPr>
        <w:ind w:left="4354" w:hanging="360"/>
      </w:pPr>
      <w:rPr>
        <w:rFonts w:hint="default"/>
        <w:lang w:val="pt-PT" w:eastAsia="en-US" w:bidi="ar-SA"/>
      </w:rPr>
    </w:lvl>
    <w:lvl w:ilvl="5" w:tplc="9562616E">
      <w:numFmt w:val="bullet"/>
      <w:lvlText w:val="•"/>
      <w:lvlJc w:val="left"/>
      <w:pPr>
        <w:ind w:left="5233" w:hanging="360"/>
      </w:pPr>
      <w:rPr>
        <w:rFonts w:hint="default"/>
        <w:lang w:val="pt-PT" w:eastAsia="en-US" w:bidi="ar-SA"/>
      </w:rPr>
    </w:lvl>
    <w:lvl w:ilvl="6" w:tplc="14C2C882">
      <w:numFmt w:val="bullet"/>
      <w:lvlText w:val="•"/>
      <w:lvlJc w:val="left"/>
      <w:pPr>
        <w:ind w:left="6111" w:hanging="360"/>
      </w:pPr>
      <w:rPr>
        <w:rFonts w:hint="default"/>
        <w:lang w:val="pt-PT" w:eastAsia="en-US" w:bidi="ar-SA"/>
      </w:rPr>
    </w:lvl>
    <w:lvl w:ilvl="7" w:tplc="A3244C54">
      <w:numFmt w:val="bullet"/>
      <w:lvlText w:val="•"/>
      <w:lvlJc w:val="left"/>
      <w:pPr>
        <w:ind w:left="6990" w:hanging="360"/>
      </w:pPr>
      <w:rPr>
        <w:rFonts w:hint="default"/>
        <w:lang w:val="pt-PT" w:eastAsia="en-US" w:bidi="ar-SA"/>
      </w:rPr>
    </w:lvl>
    <w:lvl w:ilvl="8" w:tplc="B81CAABC">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46F48CB4">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61A4324C">
      <w:numFmt w:val="bullet"/>
      <w:lvlText w:val="•"/>
      <w:lvlJc w:val="left"/>
      <w:pPr>
        <w:ind w:left="2103" w:hanging="360"/>
      </w:pPr>
      <w:rPr>
        <w:rFonts w:hint="default"/>
        <w:lang w:val="pt-PT" w:eastAsia="en-US" w:bidi="ar-SA"/>
      </w:rPr>
    </w:lvl>
    <w:lvl w:ilvl="2" w:tplc="16AAB896">
      <w:numFmt w:val="bullet"/>
      <w:lvlText w:val="•"/>
      <w:lvlJc w:val="left"/>
      <w:pPr>
        <w:ind w:left="3387" w:hanging="360"/>
      </w:pPr>
      <w:rPr>
        <w:rFonts w:hint="default"/>
        <w:lang w:val="pt-PT" w:eastAsia="en-US" w:bidi="ar-SA"/>
      </w:rPr>
    </w:lvl>
    <w:lvl w:ilvl="3" w:tplc="FBE8A44C">
      <w:numFmt w:val="bullet"/>
      <w:lvlText w:val="•"/>
      <w:lvlJc w:val="left"/>
      <w:pPr>
        <w:ind w:left="4671" w:hanging="360"/>
      </w:pPr>
      <w:rPr>
        <w:rFonts w:hint="default"/>
        <w:lang w:val="pt-PT" w:eastAsia="en-US" w:bidi="ar-SA"/>
      </w:rPr>
    </w:lvl>
    <w:lvl w:ilvl="4" w:tplc="601C7030">
      <w:numFmt w:val="bullet"/>
      <w:lvlText w:val="•"/>
      <w:lvlJc w:val="left"/>
      <w:pPr>
        <w:ind w:left="5955" w:hanging="360"/>
      </w:pPr>
      <w:rPr>
        <w:rFonts w:hint="default"/>
        <w:lang w:val="pt-PT" w:eastAsia="en-US" w:bidi="ar-SA"/>
      </w:rPr>
    </w:lvl>
    <w:lvl w:ilvl="5" w:tplc="7CBCAFB4">
      <w:numFmt w:val="bullet"/>
      <w:lvlText w:val="•"/>
      <w:lvlJc w:val="left"/>
      <w:pPr>
        <w:ind w:left="7239" w:hanging="360"/>
      </w:pPr>
      <w:rPr>
        <w:rFonts w:hint="default"/>
        <w:lang w:val="pt-PT" w:eastAsia="en-US" w:bidi="ar-SA"/>
      </w:rPr>
    </w:lvl>
    <w:lvl w:ilvl="6" w:tplc="1512B2B4">
      <w:numFmt w:val="bullet"/>
      <w:lvlText w:val="•"/>
      <w:lvlJc w:val="left"/>
      <w:pPr>
        <w:ind w:left="8523" w:hanging="360"/>
      </w:pPr>
      <w:rPr>
        <w:rFonts w:hint="default"/>
        <w:lang w:val="pt-PT" w:eastAsia="en-US" w:bidi="ar-SA"/>
      </w:rPr>
    </w:lvl>
    <w:lvl w:ilvl="7" w:tplc="4652110C">
      <w:numFmt w:val="bullet"/>
      <w:lvlText w:val="•"/>
      <w:lvlJc w:val="left"/>
      <w:pPr>
        <w:ind w:left="9806" w:hanging="360"/>
      </w:pPr>
      <w:rPr>
        <w:rFonts w:hint="default"/>
        <w:lang w:val="pt-PT" w:eastAsia="en-US" w:bidi="ar-SA"/>
      </w:rPr>
    </w:lvl>
    <w:lvl w:ilvl="8" w:tplc="78E43AA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9FF87BEE">
      <w:start w:val="13"/>
      <w:numFmt w:val="upperRoman"/>
      <w:lvlText w:val="%1."/>
      <w:lvlJc w:val="left"/>
      <w:pPr>
        <w:ind w:left="1080" w:hanging="720"/>
      </w:pPr>
      <w:rPr>
        <w:rFonts w:hint="default"/>
      </w:rPr>
    </w:lvl>
    <w:lvl w:ilvl="1" w:tplc="F5149DE2" w:tentative="1">
      <w:start w:val="1"/>
      <w:numFmt w:val="lowerLetter"/>
      <w:lvlText w:val="%2."/>
      <w:lvlJc w:val="left"/>
      <w:pPr>
        <w:ind w:left="1440" w:hanging="360"/>
      </w:pPr>
    </w:lvl>
    <w:lvl w:ilvl="2" w:tplc="52FCF0F4" w:tentative="1">
      <w:start w:val="1"/>
      <w:numFmt w:val="lowerRoman"/>
      <w:lvlText w:val="%3."/>
      <w:lvlJc w:val="right"/>
      <w:pPr>
        <w:ind w:left="2160" w:hanging="180"/>
      </w:pPr>
    </w:lvl>
    <w:lvl w:ilvl="3" w:tplc="5DB07BD2" w:tentative="1">
      <w:start w:val="1"/>
      <w:numFmt w:val="decimal"/>
      <w:lvlText w:val="%4."/>
      <w:lvlJc w:val="left"/>
      <w:pPr>
        <w:ind w:left="2880" w:hanging="360"/>
      </w:pPr>
    </w:lvl>
    <w:lvl w:ilvl="4" w:tplc="98DE229C" w:tentative="1">
      <w:start w:val="1"/>
      <w:numFmt w:val="lowerLetter"/>
      <w:lvlText w:val="%5."/>
      <w:lvlJc w:val="left"/>
      <w:pPr>
        <w:ind w:left="3600" w:hanging="360"/>
      </w:pPr>
    </w:lvl>
    <w:lvl w:ilvl="5" w:tplc="14C4FFD4" w:tentative="1">
      <w:start w:val="1"/>
      <w:numFmt w:val="lowerRoman"/>
      <w:lvlText w:val="%6."/>
      <w:lvlJc w:val="right"/>
      <w:pPr>
        <w:ind w:left="4320" w:hanging="180"/>
      </w:pPr>
    </w:lvl>
    <w:lvl w:ilvl="6" w:tplc="FAFEA968" w:tentative="1">
      <w:start w:val="1"/>
      <w:numFmt w:val="decimal"/>
      <w:lvlText w:val="%7."/>
      <w:lvlJc w:val="left"/>
      <w:pPr>
        <w:ind w:left="5040" w:hanging="360"/>
      </w:pPr>
    </w:lvl>
    <w:lvl w:ilvl="7" w:tplc="AB14C674" w:tentative="1">
      <w:start w:val="1"/>
      <w:numFmt w:val="lowerLetter"/>
      <w:lvlText w:val="%8."/>
      <w:lvlJc w:val="left"/>
      <w:pPr>
        <w:ind w:left="5760" w:hanging="360"/>
      </w:pPr>
    </w:lvl>
    <w:lvl w:ilvl="8" w:tplc="E668E8F2"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FE4A16D4">
      <w:start w:val="1"/>
      <w:numFmt w:val="upperRoman"/>
      <w:lvlText w:val="%1."/>
      <w:lvlJc w:val="right"/>
      <w:pPr>
        <w:ind w:left="1068" w:hanging="360"/>
      </w:pPr>
      <w:rPr>
        <w:rFonts w:hint="default"/>
      </w:rPr>
    </w:lvl>
    <w:lvl w:ilvl="1" w:tplc="49C212C8">
      <w:start w:val="1"/>
      <w:numFmt w:val="lowerLetter"/>
      <w:lvlText w:val="%2."/>
      <w:lvlJc w:val="left"/>
      <w:pPr>
        <w:ind w:left="1788" w:hanging="360"/>
      </w:pPr>
    </w:lvl>
    <w:lvl w:ilvl="2" w:tplc="F89C1CDA" w:tentative="1">
      <w:start w:val="1"/>
      <w:numFmt w:val="lowerRoman"/>
      <w:lvlText w:val="%3."/>
      <w:lvlJc w:val="right"/>
      <w:pPr>
        <w:ind w:left="2508" w:hanging="180"/>
      </w:pPr>
    </w:lvl>
    <w:lvl w:ilvl="3" w:tplc="4CBAEE08" w:tentative="1">
      <w:start w:val="1"/>
      <w:numFmt w:val="decimal"/>
      <w:lvlText w:val="%4."/>
      <w:lvlJc w:val="left"/>
      <w:pPr>
        <w:ind w:left="3228" w:hanging="360"/>
      </w:pPr>
    </w:lvl>
    <w:lvl w:ilvl="4" w:tplc="70B08CAE" w:tentative="1">
      <w:start w:val="1"/>
      <w:numFmt w:val="lowerLetter"/>
      <w:lvlText w:val="%5."/>
      <w:lvlJc w:val="left"/>
      <w:pPr>
        <w:ind w:left="3948" w:hanging="360"/>
      </w:pPr>
    </w:lvl>
    <w:lvl w:ilvl="5" w:tplc="7CB6F73A" w:tentative="1">
      <w:start w:val="1"/>
      <w:numFmt w:val="lowerRoman"/>
      <w:lvlText w:val="%6."/>
      <w:lvlJc w:val="right"/>
      <w:pPr>
        <w:ind w:left="4668" w:hanging="180"/>
      </w:pPr>
    </w:lvl>
    <w:lvl w:ilvl="6" w:tplc="0472F7DE" w:tentative="1">
      <w:start w:val="1"/>
      <w:numFmt w:val="decimal"/>
      <w:lvlText w:val="%7."/>
      <w:lvlJc w:val="left"/>
      <w:pPr>
        <w:ind w:left="5388" w:hanging="360"/>
      </w:pPr>
    </w:lvl>
    <w:lvl w:ilvl="7" w:tplc="B64AE708" w:tentative="1">
      <w:start w:val="1"/>
      <w:numFmt w:val="lowerLetter"/>
      <w:lvlText w:val="%8."/>
      <w:lvlJc w:val="left"/>
      <w:pPr>
        <w:ind w:left="6108" w:hanging="360"/>
      </w:pPr>
    </w:lvl>
    <w:lvl w:ilvl="8" w:tplc="B2DE67E6"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E3F83FAC">
      <w:start w:val="1"/>
      <w:numFmt w:val="lowerLetter"/>
      <w:lvlText w:val="%1)"/>
      <w:lvlJc w:val="left"/>
      <w:pPr>
        <w:ind w:left="1068" w:hanging="360"/>
      </w:pPr>
      <w:rPr>
        <w:rFonts w:hint="default"/>
      </w:rPr>
    </w:lvl>
    <w:lvl w:ilvl="1" w:tplc="277E7D30" w:tentative="1">
      <w:start w:val="1"/>
      <w:numFmt w:val="lowerLetter"/>
      <w:lvlText w:val="%2."/>
      <w:lvlJc w:val="left"/>
      <w:pPr>
        <w:ind w:left="1788" w:hanging="360"/>
      </w:pPr>
    </w:lvl>
    <w:lvl w:ilvl="2" w:tplc="2FAE70EA" w:tentative="1">
      <w:start w:val="1"/>
      <w:numFmt w:val="lowerRoman"/>
      <w:lvlText w:val="%3."/>
      <w:lvlJc w:val="right"/>
      <w:pPr>
        <w:ind w:left="2508" w:hanging="180"/>
      </w:pPr>
    </w:lvl>
    <w:lvl w:ilvl="3" w:tplc="2EFE11F0" w:tentative="1">
      <w:start w:val="1"/>
      <w:numFmt w:val="decimal"/>
      <w:lvlText w:val="%4."/>
      <w:lvlJc w:val="left"/>
      <w:pPr>
        <w:ind w:left="3228" w:hanging="360"/>
      </w:pPr>
    </w:lvl>
    <w:lvl w:ilvl="4" w:tplc="8708BF82" w:tentative="1">
      <w:start w:val="1"/>
      <w:numFmt w:val="lowerLetter"/>
      <w:lvlText w:val="%5."/>
      <w:lvlJc w:val="left"/>
      <w:pPr>
        <w:ind w:left="3948" w:hanging="360"/>
      </w:pPr>
    </w:lvl>
    <w:lvl w:ilvl="5" w:tplc="7EE6C5DE" w:tentative="1">
      <w:start w:val="1"/>
      <w:numFmt w:val="lowerRoman"/>
      <w:lvlText w:val="%6."/>
      <w:lvlJc w:val="right"/>
      <w:pPr>
        <w:ind w:left="4668" w:hanging="180"/>
      </w:pPr>
    </w:lvl>
    <w:lvl w:ilvl="6" w:tplc="7BDAE22C" w:tentative="1">
      <w:start w:val="1"/>
      <w:numFmt w:val="decimal"/>
      <w:lvlText w:val="%7."/>
      <w:lvlJc w:val="left"/>
      <w:pPr>
        <w:ind w:left="5388" w:hanging="360"/>
      </w:pPr>
    </w:lvl>
    <w:lvl w:ilvl="7" w:tplc="453C684C" w:tentative="1">
      <w:start w:val="1"/>
      <w:numFmt w:val="lowerLetter"/>
      <w:lvlText w:val="%8."/>
      <w:lvlJc w:val="left"/>
      <w:pPr>
        <w:ind w:left="6108" w:hanging="360"/>
      </w:pPr>
    </w:lvl>
    <w:lvl w:ilvl="8" w:tplc="C37E3618"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4ABC8C18">
      <w:start w:val="6"/>
      <w:numFmt w:val="bullet"/>
      <w:lvlText w:val=""/>
      <w:lvlJc w:val="left"/>
      <w:pPr>
        <w:ind w:left="720" w:hanging="360"/>
      </w:pPr>
      <w:rPr>
        <w:rFonts w:ascii="Symbol" w:eastAsiaTheme="minorHAnsi" w:hAnsi="Symbol" w:cs="Arial" w:hint="default"/>
      </w:rPr>
    </w:lvl>
    <w:lvl w:ilvl="1" w:tplc="E35620C2" w:tentative="1">
      <w:start w:val="1"/>
      <w:numFmt w:val="bullet"/>
      <w:lvlText w:val="o"/>
      <w:lvlJc w:val="left"/>
      <w:pPr>
        <w:ind w:left="1440" w:hanging="360"/>
      </w:pPr>
      <w:rPr>
        <w:rFonts w:ascii="Courier New" w:hAnsi="Courier New" w:cs="Courier New" w:hint="default"/>
      </w:rPr>
    </w:lvl>
    <w:lvl w:ilvl="2" w:tplc="F33E1BFE" w:tentative="1">
      <w:start w:val="1"/>
      <w:numFmt w:val="bullet"/>
      <w:lvlText w:val=""/>
      <w:lvlJc w:val="left"/>
      <w:pPr>
        <w:ind w:left="2160" w:hanging="360"/>
      </w:pPr>
      <w:rPr>
        <w:rFonts w:ascii="Wingdings" w:hAnsi="Wingdings" w:hint="default"/>
      </w:rPr>
    </w:lvl>
    <w:lvl w:ilvl="3" w:tplc="60A87E46" w:tentative="1">
      <w:start w:val="1"/>
      <w:numFmt w:val="bullet"/>
      <w:lvlText w:val=""/>
      <w:lvlJc w:val="left"/>
      <w:pPr>
        <w:ind w:left="2880" w:hanging="360"/>
      </w:pPr>
      <w:rPr>
        <w:rFonts w:ascii="Symbol" w:hAnsi="Symbol" w:hint="default"/>
      </w:rPr>
    </w:lvl>
    <w:lvl w:ilvl="4" w:tplc="A6E8B646" w:tentative="1">
      <w:start w:val="1"/>
      <w:numFmt w:val="bullet"/>
      <w:lvlText w:val="o"/>
      <w:lvlJc w:val="left"/>
      <w:pPr>
        <w:ind w:left="3600" w:hanging="360"/>
      </w:pPr>
      <w:rPr>
        <w:rFonts w:ascii="Courier New" w:hAnsi="Courier New" w:cs="Courier New" w:hint="default"/>
      </w:rPr>
    </w:lvl>
    <w:lvl w:ilvl="5" w:tplc="3606FD90" w:tentative="1">
      <w:start w:val="1"/>
      <w:numFmt w:val="bullet"/>
      <w:lvlText w:val=""/>
      <w:lvlJc w:val="left"/>
      <w:pPr>
        <w:ind w:left="4320" w:hanging="360"/>
      </w:pPr>
      <w:rPr>
        <w:rFonts w:ascii="Wingdings" w:hAnsi="Wingdings" w:hint="default"/>
      </w:rPr>
    </w:lvl>
    <w:lvl w:ilvl="6" w:tplc="097405F4" w:tentative="1">
      <w:start w:val="1"/>
      <w:numFmt w:val="bullet"/>
      <w:lvlText w:val=""/>
      <w:lvlJc w:val="left"/>
      <w:pPr>
        <w:ind w:left="5040" w:hanging="360"/>
      </w:pPr>
      <w:rPr>
        <w:rFonts w:ascii="Symbol" w:hAnsi="Symbol" w:hint="default"/>
      </w:rPr>
    </w:lvl>
    <w:lvl w:ilvl="7" w:tplc="C2C46DEC" w:tentative="1">
      <w:start w:val="1"/>
      <w:numFmt w:val="bullet"/>
      <w:lvlText w:val="o"/>
      <w:lvlJc w:val="left"/>
      <w:pPr>
        <w:ind w:left="5760" w:hanging="360"/>
      </w:pPr>
      <w:rPr>
        <w:rFonts w:ascii="Courier New" w:hAnsi="Courier New" w:cs="Courier New" w:hint="default"/>
      </w:rPr>
    </w:lvl>
    <w:lvl w:ilvl="8" w:tplc="6A723048"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C5B2F220">
      <w:start w:val="1"/>
      <w:numFmt w:val="bullet"/>
      <w:lvlText w:val=""/>
      <w:lvlJc w:val="left"/>
      <w:pPr>
        <w:ind w:left="720" w:hanging="360"/>
      </w:pPr>
      <w:rPr>
        <w:rFonts w:ascii="Symbol" w:hAnsi="Symbol" w:hint="default"/>
      </w:rPr>
    </w:lvl>
    <w:lvl w:ilvl="1" w:tplc="47B2F464" w:tentative="1">
      <w:start w:val="1"/>
      <w:numFmt w:val="bullet"/>
      <w:lvlText w:val="o"/>
      <w:lvlJc w:val="left"/>
      <w:pPr>
        <w:ind w:left="1440" w:hanging="360"/>
      </w:pPr>
      <w:rPr>
        <w:rFonts w:ascii="Courier New" w:hAnsi="Courier New" w:cs="Courier New" w:hint="default"/>
      </w:rPr>
    </w:lvl>
    <w:lvl w:ilvl="2" w:tplc="3E92C538" w:tentative="1">
      <w:start w:val="1"/>
      <w:numFmt w:val="bullet"/>
      <w:lvlText w:val=""/>
      <w:lvlJc w:val="left"/>
      <w:pPr>
        <w:ind w:left="2160" w:hanging="360"/>
      </w:pPr>
      <w:rPr>
        <w:rFonts w:ascii="Wingdings" w:hAnsi="Wingdings" w:hint="default"/>
      </w:rPr>
    </w:lvl>
    <w:lvl w:ilvl="3" w:tplc="7D6C3AB6" w:tentative="1">
      <w:start w:val="1"/>
      <w:numFmt w:val="bullet"/>
      <w:lvlText w:val=""/>
      <w:lvlJc w:val="left"/>
      <w:pPr>
        <w:ind w:left="2880" w:hanging="360"/>
      </w:pPr>
      <w:rPr>
        <w:rFonts w:ascii="Symbol" w:hAnsi="Symbol" w:hint="default"/>
      </w:rPr>
    </w:lvl>
    <w:lvl w:ilvl="4" w:tplc="D5A26426" w:tentative="1">
      <w:start w:val="1"/>
      <w:numFmt w:val="bullet"/>
      <w:lvlText w:val="o"/>
      <w:lvlJc w:val="left"/>
      <w:pPr>
        <w:ind w:left="3600" w:hanging="360"/>
      </w:pPr>
      <w:rPr>
        <w:rFonts w:ascii="Courier New" w:hAnsi="Courier New" w:cs="Courier New" w:hint="default"/>
      </w:rPr>
    </w:lvl>
    <w:lvl w:ilvl="5" w:tplc="6D745D80" w:tentative="1">
      <w:start w:val="1"/>
      <w:numFmt w:val="bullet"/>
      <w:lvlText w:val=""/>
      <w:lvlJc w:val="left"/>
      <w:pPr>
        <w:ind w:left="4320" w:hanging="360"/>
      </w:pPr>
      <w:rPr>
        <w:rFonts w:ascii="Wingdings" w:hAnsi="Wingdings" w:hint="default"/>
      </w:rPr>
    </w:lvl>
    <w:lvl w:ilvl="6" w:tplc="958A5C66" w:tentative="1">
      <w:start w:val="1"/>
      <w:numFmt w:val="bullet"/>
      <w:lvlText w:val=""/>
      <w:lvlJc w:val="left"/>
      <w:pPr>
        <w:ind w:left="5040" w:hanging="360"/>
      </w:pPr>
      <w:rPr>
        <w:rFonts w:ascii="Symbol" w:hAnsi="Symbol" w:hint="default"/>
      </w:rPr>
    </w:lvl>
    <w:lvl w:ilvl="7" w:tplc="257C7560" w:tentative="1">
      <w:start w:val="1"/>
      <w:numFmt w:val="bullet"/>
      <w:lvlText w:val="o"/>
      <w:lvlJc w:val="left"/>
      <w:pPr>
        <w:ind w:left="5760" w:hanging="360"/>
      </w:pPr>
      <w:rPr>
        <w:rFonts w:ascii="Courier New" w:hAnsi="Courier New" w:cs="Courier New" w:hint="default"/>
      </w:rPr>
    </w:lvl>
    <w:lvl w:ilvl="8" w:tplc="43BE49D4"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5A4ECD20">
      <w:start w:val="1"/>
      <w:numFmt w:val="upperRoman"/>
      <w:lvlText w:val="%1."/>
      <w:lvlJc w:val="left"/>
      <w:pPr>
        <w:ind w:left="1080" w:hanging="720"/>
      </w:pPr>
      <w:rPr>
        <w:rFonts w:hint="default"/>
      </w:rPr>
    </w:lvl>
    <w:lvl w:ilvl="1" w:tplc="C1406068">
      <w:start w:val="1"/>
      <w:numFmt w:val="lowerLetter"/>
      <w:lvlText w:val="%2."/>
      <w:lvlJc w:val="left"/>
      <w:pPr>
        <w:ind w:left="1440" w:hanging="360"/>
      </w:pPr>
    </w:lvl>
    <w:lvl w:ilvl="2" w:tplc="03E8372A">
      <w:start w:val="1"/>
      <w:numFmt w:val="lowerRoman"/>
      <w:lvlText w:val="%3."/>
      <w:lvlJc w:val="right"/>
      <w:pPr>
        <w:ind w:left="2160" w:hanging="180"/>
      </w:pPr>
    </w:lvl>
    <w:lvl w:ilvl="3" w:tplc="A0B25006" w:tentative="1">
      <w:start w:val="1"/>
      <w:numFmt w:val="decimal"/>
      <w:lvlText w:val="%4."/>
      <w:lvlJc w:val="left"/>
      <w:pPr>
        <w:ind w:left="2880" w:hanging="360"/>
      </w:pPr>
    </w:lvl>
    <w:lvl w:ilvl="4" w:tplc="5B1EF90C" w:tentative="1">
      <w:start w:val="1"/>
      <w:numFmt w:val="lowerLetter"/>
      <w:lvlText w:val="%5."/>
      <w:lvlJc w:val="left"/>
      <w:pPr>
        <w:ind w:left="3600" w:hanging="360"/>
      </w:pPr>
    </w:lvl>
    <w:lvl w:ilvl="5" w:tplc="D3B6855E" w:tentative="1">
      <w:start w:val="1"/>
      <w:numFmt w:val="lowerRoman"/>
      <w:lvlText w:val="%6."/>
      <w:lvlJc w:val="right"/>
      <w:pPr>
        <w:ind w:left="4320" w:hanging="180"/>
      </w:pPr>
    </w:lvl>
    <w:lvl w:ilvl="6" w:tplc="D5084ACC" w:tentative="1">
      <w:start w:val="1"/>
      <w:numFmt w:val="decimal"/>
      <w:lvlText w:val="%7."/>
      <w:lvlJc w:val="left"/>
      <w:pPr>
        <w:ind w:left="5040" w:hanging="360"/>
      </w:pPr>
    </w:lvl>
    <w:lvl w:ilvl="7" w:tplc="E286B658" w:tentative="1">
      <w:start w:val="1"/>
      <w:numFmt w:val="lowerLetter"/>
      <w:lvlText w:val="%8."/>
      <w:lvlJc w:val="left"/>
      <w:pPr>
        <w:ind w:left="5760" w:hanging="360"/>
      </w:pPr>
    </w:lvl>
    <w:lvl w:ilvl="8" w:tplc="DE7E3F5C"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E8C67E02">
      <w:start w:val="1"/>
      <w:numFmt w:val="decimal"/>
      <w:lvlText w:val="2.%1."/>
      <w:lvlJc w:val="left"/>
      <w:pPr>
        <w:ind w:left="720" w:hanging="360"/>
      </w:pPr>
      <w:rPr>
        <w:rFonts w:hint="default"/>
        <w:b/>
        <w:bCs/>
      </w:rPr>
    </w:lvl>
    <w:lvl w:ilvl="1" w:tplc="8812A46A" w:tentative="1">
      <w:start w:val="1"/>
      <w:numFmt w:val="lowerLetter"/>
      <w:lvlText w:val="%2."/>
      <w:lvlJc w:val="left"/>
      <w:pPr>
        <w:ind w:left="1440" w:hanging="360"/>
      </w:pPr>
    </w:lvl>
    <w:lvl w:ilvl="2" w:tplc="100C0492" w:tentative="1">
      <w:start w:val="1"/>
      <w:numFmt w:val="lowerRoman"/>
      <w:lvlText w:val="%3."/>
      <w:lvlJc w:val="right"/>
      <w:pPr>
        <w:ind w:left="2160" w:hanging="180"/>
      </w:pPr>
    </w:lvl>
    <w:lvl w:ilvl="3" w:tplc="9FA2B27A" w:tentative="1">
      <w:start w:val="1"/>
      <w:numFmt w:val="decimal"/>
      <w:lvlText w:val="%4."/>
      <w:lvlJc w:val="left"/>
      <w:pPr>
        <w:ind w:left="2880" w:hanging="360"/>
      </w:pPr>
    </w:lvl>
    <w:lvl w:ilvl="4" w:tplc="6206E96A" w:tentative="1">
      <w:start w:val="1"/>
      <w:numFmt w:val="lowerLetter"/>
      <w:lvlText w:val="%5."/>
      <w:lvlJc w:val="left"/>
      <w:pPr>
        <w:ind w:left="3600" w:hanging="360"/>
      </w:pPr>
    </w:lvl>
    <w:lvl w:ilvl="5" w:tplc="10028262" w:tentative="1">
      <w:start w:val="1"/>
      <w:numFmt w:val="lowerRoman"/>
      <w:lvlText w:val="%6."/>
      <w:lvlJc w:val="right"/>
      <w:pPr>
        <w:ind w:left="4320" w:hanging="180"/>
      </w:pPr>
    </w:lvl>
    <w:lvl w:ilvl="6" w:tplc="4D6ECDA2" w:tentative="1">
      <w:start w:val="1"/>
      <w:numFmt w:val="decimal"/>
      <w:lvlText w:val="%7."/>
      <w:lvlJc w:val="left"/>
      <w:pPr>
        <w:ind w:left="5040" w:hanging="360"/>
      </w:pPr>
    </w:lvl>
    <w:lvl w:ilvl="7" w:tplc="52BEB25E" w:tentative="1">
      <w:start w:val="1"/>
      <w:numFmt w:val="lowerLetter"/>
      <w:lvlText w:val="%8."/>
      <w:lvlJc w:val="left"/>
      <w:pPr>
        <w:ind w:left="5760" w:hanging="360"/>
      </w:pPr>
    </w:lvl>
    <w:lvl w:ilvl="8" w:tplc="4716942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1F9AC714">
      <w:start w:val="1"/>
      <w:numFmt w:val="lowerLetter"/>
      <w:lvlText w:val=""/>
      <w:lvlJc w:val="left"/>
    </w:lvl>
    <w:lvl w:ilvl="1" w:tplc="D3120740">
      <w:numFmt w:val="decimal"/>
      <w:lvlText w:val=""/>
      <w:lvlJc w:val="left"/>
    </w:lvl>
    <w:lvl w:ilvl="2" w:tplc="8B0A6D10">
      <w:numFmt w:val="decimal"/>
      <w:lvlText w:val=""/>
      <w:lvlJc w:val="left"/>
    </w:lvl>
    <w:lvl w:ilvl="3" w:tplc="7ECCB672">
      <w:numFmt w:val="decimal"/>
      <w:lvlText w:val=""/>
      <w:lvlJc w:val="left"/>
    </w:lvl>
    <w:lvl w:ilvl="4" w:tplc="E3DE76D0">
      <w:numFmt w:val="decimal"/>
      <w:lvlText w:val=""/>
      <w:lvlJc w:val="left"/>
    </w:lvl>
    <w:lvl w:ilvl="5" w:tplc="9A54054C">
      <w:numFmt w:val="decimal"/>
      <w:lvlText w:val=""/>
      <w:lvlJc w:val="left"/>
    </w:lvl>
    <w:lvl w:ilvl="6" w:tplc="ABB483E6">
      <w:numFmt w:val="decimal"/>
      <w:lvlText w:val=""/>
      <w:lvlJc w:val="left"/>
    </w:lvl>
    <w:lvl w:ilvl="7" w:tplc="732CEB90">
      <w:numFmt w:val="decimal"/>
      <w:lvlText w:val=""/>
      <w:lvlJc w:val="left"/>
    </w:lvl>
    <w:lvl w:ilvl="8" w:tplc="86BAFB04">
      <w:numFmt w:val="decimal"/>
      <w:lvlText w:val=""/>
      <w:lvlJc w:val="left"/>
    </w:lvl>
  </w:abstractNum>
  <w:abstractNum w:abstractNumId="29" w15:restartNumberingAfterBreak="0">
    <w:nsid w:val="5EF539E4"/>
    <w:multiLevelType w:val="hybridMultilevel"/>
    <w:tmpl w:val="9CB68350"/>
    <w:lvl w:ilvl="0" w:tplc="572E16C0">
      <w:start w:val="20"/>
      <w:numFmt w:val="upperRoman"/>
      <w:lvlText w:val="%1."/>
      <w:lvlJc w:val="left"/>
      <w:pPr>
        <w:ind w:left="1080" w:hanging="720"/>
      </w:pPr>
      <w:rPr>
        <w:rFonts w:hint="default"/>
      </w:rPr>
    </w:lvl>
    <w:lvl w:ilvl="1" w:tplc="367810DA" w:tentative="1">
      <w:start w:val="1"/>
      <w:numFmt w:val="lowerLetter"/>
      <w:lvlText w:val="%2."/>
      <w:lvlJc w:val="left"/>
      <w:pPr>
        <w:ind w:left="1440" w:hanging="360"/>
      </w:pPr>
    </w:lvl>
    <w:lvl w:ilvl="2" w:tplc="D9868BB6" w:tentative="1">
      <w:start w:val="1"/>
      <w:numFmt w:val="lowerRoman"/>
      <w:lvlText w:val="%3."/>
      <w:lvlJc w:val="right"/>
      <w:pPr>
        <w:ind w:left="2160" w:hanging="180"/>
      </w:pPr>
    </w:lvl>
    <w:lvl w:ilvl="3" w:tplc="5434E3D0" w:tentative="1">
      <w:start w:val="1"/>
      <w:numFmt w:val="decimal"/>
      <w:lvlText w:val="%4."/>
      <w:lvlJc w:val="left"/>
      <w:pPr>
        <w:ind w:left="2880" w:hanging="360"/>
      </w:pPr>
    </w:lvl>
    <w:lvl w:ilvl="4" w:tplc="305C9E50" w:tentative="1">
      <w:start w:val="1"/>
      <w:numFmt w:val="lowerLetter"/>
      <w:lvlText w:val="%5."/>
      <w:lvlJc w:val="left"/>
      <w:pPr>
        <w:ind w:left="3600" w:hanging="360"/>
      </w:pPr>
    </w:lvl>
    <w:lvl w:ilvl="5" w:tplc="D3B43AFC" w:tentative="1">
      <w:start w:val="1"/>
      <w:numFmt w:val="lowerRoman"/>
      <w:lvlText w:val="%6."/>
      <w:lvlJc w:val="right"/>
      <w:pPr>
        <w:ind w:left="4320" w:hanging="180"/>
      </w:pPr>
    </w:lvl>
    <w:lvl w:ilvl="6" w:tplc="5F98CCC6" w:tentative="1">
      <w:start w:val="1"/>
      <w:numFmt w:val="decimal"/>
      <w:lvlText w:val="%7."/>
      <w:lvlJc w:val="left"/>
      <w:pPr>
        <w:ind w:left="5040" w:hanging="360"/>
      </w:pPr>
    </w:lvl>
    <w:lvl w:ilvl="7" w:tplc="6D2235F6" w:tentative="1">
      <w:start w:val="1"/>
      <w:numFmt w:val="lowerLetter"/>
      <w:lvlText w:val="%8."/>
      <w:lvlJc w:val="left"/>
      <w:pPr>
        <w:ind w:left="5760" w:hanging="360"/>
      </w:pPr>
    </w:lvl>
    <w:lvl w:ilvl="8" w:tplc="81E83C2A"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CB24AF8A">
      <w:start w:val="1"/>
      <w:numFmt w:val="decimal"/>
      <w:lvlText w:val="%1."/>
      <w:lvlJc w:val="left"/>
      <w:pPr>
        <w:ind w:left="720" w:hanging="360"/>
      </w:pPr>
      <w:rPr>
        <w:rFonts w:ascii="Arial" w:hAnsi="Arial" w:cs="Arial" w:hint="default"/>
        <w:b/>
        <w:bCs/>
        <w:sz w:val="24"/>
      </w:rPr>
    </w:lvl>
    <w:lvl w:ilvl="1" w:tplc="BFE2B106">
      <w:start w:val="1"/>
      <w:numFmt w:val="lowerLetter"/>
      <w:lvlText w:val="%2."/>
      <w:lvlJc w:val="left"/>
      <w:pPr>
        <w:ind w:left="1440" w:hanging="360"/>
      </w:pPr>
    </w:lvl>
    <w:lvl w:ilvl="2" w:tplc="AED6B410" w:tentative="1">
      <w:start w:val="1"/>
      <w:numFmt w:val="lowerRoman"/>
      <w:lvlText w:val="%3."/>
      <w:lvlJc w:val="right"/>
      <w:pPr>
        <w:ind w:left="2160" w:hanging="180"/>
      </w:pPr>
    </w:lvl>
    <w:lvl w:ilvl="3" w:tplc="5E6A6B10" w:tentative="1">
      <w:start w:val="1"/>
      <w:numFmt w:val="decimal"/>
      <w:lvlText w:val="%4."/>
      <w:lvlJc w:val="left"/>
      <w:pPr>
        <w:ind w:left="2880" w:hanging="360"/>
      </w:pPr>
    </w:lvl>
    <w:lvl w:ilvl="4" w:tplc="CF2E9EA8" w:tentative="1">
      <w:start w:val="1"/>
      <w:numFmt w:val="lowerLetter"/>
      <w:lvlText w:val="%5."/>
      <w:lvlJc w:val="left"/>
      <w:pPr>
        <w:ind w:left="3600" w:hanging="360"/>
      </w:pPr>
    </w:lvl>
    <w:lvl w:ilvl="5" w:tplc="1C46EA80" w:tentative="1">
      <w:start w:val="1"/>
      <w:numFmt w:val="lowerRoman"/>
      <w:lvlText w:val="%6."/>
      <w:lvlJc w:val="right"/>
      <w:pPr>
        <w:ind w:left="4320" w:hanging="180"/>
      </w:pPr>
    </w:lvl>
    <w:lvl w:ilvl="6" w:tplc="AF6432FA" w:tentative="1">
      <w:start w:val="1"/>
      <w:numFmt w:val="decimal"/>
      <w:lvlText w:val="%7."/>
      <w:lvlJc w:val="left"/>
      <w:pPr>
        <w:ind w:left="5040" w:hanging="360"/>
      </w:pPr>
    </w:lvl>
    <w:lvl w:ilvl="7" w:tplc="F788C380" w:tentative="1">
      <w:start w:val="1"/>
      <w:numFmt w:val="lowerLetter"/>
      <w:lvlText w:val="%8."/>
      <w:lvlJc w:val="left"/>
      <w:pPr>
        <w:ind w:left="5760" w:hanging="360"/>
      </w:pPr>
    </w:lvl>
    <w:lvl w:ilvl="8" w:tplc="7FFEC99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B38694C4">
      <w:start w:val="1"/>
      <w:numFmt w:val="bullet"/>
      <w:lvlText w:val=""/>
      <w:lvlJc w:val="left"/>
      <w:pPr>
        <w:ind w:left="720" w:hanging="360"/>
      </w:pPr>
      <w:rPr>
        <w:rFonts w:ascii="Wingdings" w:hAnsi="Wingdings" w:hint="default"/>
      </w:rPr>
    </w:lvl>
    <w:lvl w:ilvl="1" w:tplc="A7E2F1EE" w:tentative="1">
      <w:start w:val="1"/>
      <w:numFmt w:val="bullet"/>
      <w:lvlText w:val="o"/>
      <w:lvlJc w:val="left"/>
      <w:pPr>
        <w:ind w:left="1440" w:hanging="360"/>
      </w:pPr>
      <w:rPr>
        <w:rFonts w:ascii="Courier New" w:hAnsi="Courier New" w:cs="Courier New" w:hint="default"/>
      </w:rPr>
    </w:lvl>
    <w:lvl w:ilvl="2" w:tplc="E360759E" w:tentative="1">
      <w:start w:val="1"/>
      <w:numFmt w:val="bullet"/>
      <w:lvlText w:val=""/>
      <w:lvlJc w:val="left"/>
      <w:pPr>
        <w:ind w:left="2160" w:hanging="360"/>
      </w:pPr>
      <w:rPr>
        <w:rFonts w:ascii="Wingdings" w:hAnsi="Wingdings" w:hint="default"/>
      </w:rPr>
    </w:lvl>
    <w:lvl w:ilvl="3" w:tplc="BFF0F864" w:tentative="1">
      <w:start w:val="1"/>
      <w:numFmt w:val="bullet"/>
      <w:lvlText w:val=""/>
      <w:lvlJc w:val="left"/>
      <w:pPr>
        <w:ind w:left="2880" w:hanging="360"/>
      </w:pPr>
      <w:rPr>
        <w:rFonts w:ascii="Symbol" w:hAnsi="Symbol" w:hint="default"/>
      </w:rPr>
    </w:lvl>
    <w:lvl w:ilvl="4" w:tplc="CE84177A" w:tentative="1">
      <w:start w:val="1"/>
      <w:numFmt w:val="bullet"/>
      <w:lvlText w:val="o"/>
      <w:lvlJc w:val="left"/>
      <w:pPr>
        <w:ind w:left="3600" w:hanging="360"/>
      </w:pPr>
      <w:rPr>
        <w:rFonts w:ascii="Courier New" w:hAnsi="Courier New" w:cs="Courier New" w:hint="default"/>
      </w:rPr>
    </w:lvl>
    <w:lvl w:ilvl="5" w:tplc="21D07CF2" w:tentative="1">
      <w:start w:val="1"/>
      <w:numFmt w:val="bullet"/>
      <w:lvlText w:val=""/>
      <w:lvlJc w:val="left"/>
      <w:pPr>
        <w:ind w:left="4320" w:hanging="360"/>
      </w:pPr>
      <w:rPr>
        <w:rFonts w:ascii="Wingdings" w:hAnsi="Wingdings" w:hint="default"/>
      </w:rPr>
    </w:lvl>
    <w:lvl w:ilvl="6" w:tplc="E4AE6BFA" w:tentative="1">
      <w:start w:val="1"/>
      <w:numFmt w:val="bullet"/>
      <w:lvlText w:val=""/>
      <w:lvlJc w:val="left"/>
      <w:pPr>
        <w:ind w:left="5040" w:hanging="360"/>
      </w:pPr>
      <w:rPr>
        <w:rFonts w:ascii="Symbol" w:hAnsi="Symbol" w:hint="default"/>
      </w:rPr>
    </w:lvl>
    <w:lvl w:ilvl="7" w:tplc="DF0081C6" w:tentative="1">
      <w:start w:val="1"/>
      <w:numFmt w:val="bullet"/>
      <w:lvlText w:val="o"/>
      <w:lvlJc w:val="left"/>
      <w:pPr>
        <w:ind w:left="5760" w:hanging="360"/>
      </w:pPr>
      <w:rPr>
        <w:rFonts w:ascii="Courier New" w:hAnsi="Courier New" w:cs="Courier New" w:hint="default"/>
      </w:rPr>
    </w:lvl>
    <w:lvl w:ilvl="8" w:tplc="31A25966"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40BA72AE">
      <w:start w:val="11"/>
      <w:numFmt w:val="upperRoman"/>
      <w:lvlText w:val="%1."/>
      <w:lvlJc w:val="left"/>
      <w:pPr>
        <w:ind w:left="1080" w:hanging="720"/>
      </w:pPr>
      <w:rPr>
        <w:rFonts w:hint="default"/>
      </w:rPr>
    </w:lvl>
    <w:lvl w:ilvl="1" w:tplc="16003F64" w:tentative="1">
      <w:start w:val="1"/>
      <w:numFmt w:val="lowerLetter"/>
      <w:lvlText w:val="%2."/>
      <w:lvlJc w:val="left"/>
      <w:pPr>
        <w:ind w:left="1440" w:hanging="360"/>
      </w:pPr>
    </w:lvl>
    <w:lvl w:ilvl="2" w:tplc="68BEB486" w:tentative="1">
      <w:start w:val="1"/>
      <w:numFmt w:val="lowerRoman"/>
      <w:lvlText w:val="%3."/>
      <w:lvlJc w:val="right"/>
      <w:pPr>
        <w:ind w:left="2160" w:hanging="180"/>
      </w:pPr>
    </w:lvl>
    <w:lvl w:ilvl="3" w:tplc="1F5EAAB6" w:tentative="1">
      <w:start w:val="1"/>
      <w:numFmt w:val="decimal"/>
      <w:lvlText w:val="%4."/>
      <w:lvlJc w:val="left"/>
      <w:pPr>
        <w:ind w:left="2880" w:hanging="360"/>
      </w:pPr>
    </w:lvl>
    <w:lvl w:ilvl="4" w:tplc="721E7AD0" w:tentative="1">
      <w:start w:val="1"/>
      <w:numFmt w:val="lowerLetter"/>
      <w:lvlText w:val="%5."/>
      <w:lvlJc w:val="left"/>
      <w:pPr>
        <w:ind w:left="3600" w:hanging="360"/>
      </w:pPr>
    </w:lvl>
    <w:lvl w:ilvl="5" w:tplc="DAD489EE" w:tentative="1">
      <w:start w:val="1"/>
      <w:numFmt w:val="lowerRoman"/>
      <w:lvlText w:val="%6."/>
      <w:lvlJc w:val="right"/>
      <w:pPr>
        <w:ind w:left="4320" w:hanging="180"/>
      </w:pPr>
    </w:lvl>
    <w:lvl w:ilvl="6" w:tplc="D4647874" w:tentative="1">
      <w:start w:val="1"/>
      <w:numFmt w:val="decimal"/>
      <w:lvlText w:val="%7."/>
      <w:lvlJc w:val="left"/>
      <w:pPr>
        <w:ind w:left="5040" w:hanging="360"/>
      </w:pPr>
    </w:lvl>
    <w:lvl w:ilvl="7" w:tplc="577EFD2A" w:tentative="1">
      <w:start w:val="1"/>
      <w:numFmt w:val="lowerLetter"/>
      <w:lvlText w:val="%8."/>
      <w:lvlJc w:val="left"/>
      <w:pPr>
        <w:ind w:left="5760" w:hanging="360"/>
      </w:pPr>
    </w:lvl>
    <w:lvl w:ilvl="8" w:tplc="CD68A654" w:tentative="1">
      <w:start w:val="1"/>
      <w:numFmt w:val="lowerRoman"/>
      <w:lvlText w:val="%9."/>
      <w:lvlJc w:val="right"/>
      <w:pPr>
        <w:ind w:left="6480" w:hanging="180"/>
      </w:pPr>
    </w:lvl>
  </w:abstractNum>
  <w:abstractNum w:abstractNumId="34" w15:restartNumberingAfterBreak="0">
    <w:nsid w:val="7B444012"/>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444013"/>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444014"/>
    <w:multiLevelType w:val="multilevel"/>
    <w:tmpl w:val="AF20FB30"/>
    <w:lvl w:ilvl="0">
      <w:start w:val="4"/>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7B444015"/>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444016"/>
    <w:multiLevelType w:val="hybridMultilevel"/>
    <w:tmpl w:val="C7DCB57C"/>
    <w:lvl w:ilvl="0" w:tplc="A0E049B2">
      <w:start w:val="5"/>
      <w:numFmt w:val="upperRoman"/>
      <w:lvlText w:val="%1."/>
      <w:lvlJc w:val="left"/>
      <w:pPr>
        <w:ind w:left="1080" w:hanging="720"/>
      </w:pPr>
      <w:rPr>
        <w:rFonts w:hint="default"/>
      </w:rPr>
    </w:lvl>
    <w:lvl w:ilvl="1" w:tplc="C7FCB694">
      <w:start w:val="1"/>
      <w:numFmt w:val="lowerLetter"/>
      <w:lvlText w:val="%2."/>
      <w:lvlJc w:val="left"/>
      <w:pPr>
        <w:ind w:left="1440" w:hanging="360"/>
      </w:pPr>
    </w:lvl>
    <w:lvl w:ilvl="2" w:tplc="FA0A0BAA">
      <w:start w:val="1"/>
      <w:numFmt w:val="lowerRoman"/>
      <w:lvlText w:val="%3."/>
      <w:lvlJc w:val="right"/>
      <w:pPr>
        <w:ind w:left="2160" w:hanging="180"/>
      </w:pPr>
    </w:lvl>
    <w:lvl w:ilvl="3" w:tplc="FC562AA0" w:tentative="1">
      <w:start w:val="1"/>
      <w:numFmt w:val="decimal"/>
      <w:lvlText w:val="%4."/>
      <w:lvlJc w:val="left"/>
      <w:pPr>
        <w:ind w:left="2880" w:hanging="360"/>
      </w:pPr>
    </w:lvl>
    <w:lvl w:ilvl="4" w:tplc="7F320E32" w:tentative="1">
      <w:start w:val="1"/>
      <w:numFmt w:val="lowerLetter"/>
      <w:lvlText w:val="%5."/>
      <w:lvlJc w:val="left"/>
      <w:pPr>
        <w:ind w:left="3600" w:hanging="360"/>
      </w:pPr>
    </w:lvl>
    <w:lvl w:ilvl="5" w:tplc="DB84F6AA" w:tentative="1">
      <w:start w:val="1"/>
      <w:numFmt w:val="lowerRoman"/>
      <w:lvlText w:val="%6."/>
      <w:lvlJc w:val="right"/>
      <w:pPr>
        <w:ind w:left="4320" w:hanging="180"/>
      </w:pPr>
    </w:lvl>
    <w:lvl w:ilvl="6" w:tplc="59C2FF70" w:tentative="1">
      <w:start w:val="1"/>
      <w:numFmt w:val="decimal"/>
      <w:lvlText w:val="%7."/>
      <w:lvlJc w:val="left"/>
      <w:pPr>
        <w:ind w:left="5040" w:hanging="360"/>
      </w:pPr>
    </w:lvl>
    <w:lvl w:ilvl="7" w:tplc="310861FA" w:tentative="1">
      <w:start w:val="1"/>
      <w:numFmt w:val="lowerLetter"/>
      <w:lvlText w:val="%8."/>
      <w:lvlJc w:val="left"/>
      <w:pPr>
        <w:ind w:left="5760" w:hanging="360"/>
      </w:pPr>
    </w:lvl>
    <w:lvl w:ilvl="8" w:tplc="403ED548"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 w:numId="35" w16cid:durableId="924919706">
    <w:abstractNumId w:val="34"/>
  </w:num>
  <w:num w:numId="36" w16cid:durableId="91358466">
    <w:abstractNumId w:val="35"/>
  </w:num>
  <w:num w:numId="37" w16cid:durableId="1859998091">
    <w:abstractNumId w:val="36"/>
  </w:num>
  <w:num w:numId="38" w16cid:durableId="132715934">
    <w:abstractNumId w:val="37"/>
  </w:num>
  <w:num w:numId="39" w16cid:durableId="9694809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Start w:val="3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C"/>
    <w:rsid w:val="00306FBF"/>
    <w:rsid w:val="003D739C"/>
    <w:rsid w:val="003F5561"/>
    <w:rsid w:val="00453518"/>
    <w:rsid w:val="00530702"/>
    <w:rsid w:val="00727BC4"/>
    <w:rsid w:val="00865FE9"/>
    <w:rsid w:val="009B31FA"/>
    <w:rsid w:val="009E0B0F"/>
    <w:rsid w:val="00EE2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1F30"/>
  <w15:chartTrackingRefBased/>
  <w15:docId w15:val="{EB89B28D-421C-4227-9037-DB21280D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9C"/>
    <w:rPr>
      <w:kern w:val="0"/>
      <w14:ligatures w14:val="none"/>
    </w:rPr>
  </w:style>
  <w:style w:type="paragraph" w:styleId="Ttulo1">
    <w:name w:val="heading 1"/>
    <w:basedOn w:val="Normal"/>
    <w:next w:val="Normal"/>
    <w:link w:val="Ttulo1Char"/>
    <w:uiPriority w:val="9"/>
    <w:qFormat/>
    <w:rsid w:val="003D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3D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3D73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3D73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73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73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73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73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73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73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qFormat/>
    <w:rsid w:val="003D73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qFormat/>
    <w:rsid w:val="003D73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sid w:val="003D73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73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73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73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73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739C"/>
    <w:rPr>
      <w:rFonts w:eastAsiaTheme="majorEastAsia" w:cstheme="majorBidi"/>
      <w:color w:val="272727" w:themeColor="text1" w:themeTint="D8"/>
    </w:rPr>
  </w:style>
  <w:style w:type="paragraph" w:styleId="Ttulo">
    <w:name w:val="Title"/>
    <w:basedOn w:val="Normal"/>
    <w:next w:val="Normal"/>
    <w:link w:val="TtuloChar"/>
    <w:uiPriority w:val="10"/>
    <w:qFormat/>
    <w:rsid w:val="003D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73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73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qFormat/>
    <w:rsid w:val="003D73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739C"/>
    <w:pPr>
      <w:spacing w:before="160"/>
      <w:jc w:val="center"/>
    </w:pPr>
    <w:rPr>
      <w:i/>
      <w:iCs/>
      <w:color w:val="404040" w:themeColor="text1" w:themeTint="BF"/>
    </w:rPr>
  </w:style>
  <w:style w:type="character" w:customStyle="1" w:styleId="CitaoChar">
    <w:name w:val="Citação Char"/>
    <w:basedOn w:val="Fontepargpadro"/>
    <w:link w:val="Citao"/>
    <w:uiPriority w:val="29"/>
    <w:rsid w:val="003D739C"/>
    <w:rPr>
      <w:i/>
      <w:iCs/>
      <w:color w:val="404040" w:themeColor="text1" w:themeTint="BF"/>
    </w:rPr>
  </w:style>
  <w:style w:type="paragraph" w:styleId="PargrafodaLista">
    <w:name w:val="List Paragraph"/>
    <w:basedOn w:val="Normal"/>
    <w:link w:val="PargrafodaListaChar"/>
    <w:uiPriority w:val="34"/>
    <w:qFormat/>
    <w:rsid w:val="003D739C"/>
    <w:pPr>
      <w:ind w:left="720"/>
      <w:contextualSpacing/>
    </w:pPr>
  </w:style>
  <w:style w:type="character" w:styleId="nfaseIntensa">
    <w:name w:val="Intense Emphasis"/>
    <w:basedOn w:val="Fontepargpadro"/>
    <w:uiPriority w:val="21"/>
    <w:qFormat/>
    <w:rsid w:val="003D739C"/>
    <w:rPr>
      <w:i/>
      <w:iCs/>
      <w:color w:val="0F4761" w:themeColor="accent1" w:themeShade="BF"/>
    </w:rPr>
  </w:style>
  <w:style w:type="paragraph" w:styleId="CitaoIntensa">
    <w:name w:val="Intense Quote"/>
    <w:basedOn w:val="Normal"/>
    <w:next w:val="Normal"/>
    <w:link w:val="CitaoIntensaChar"/>
    <w:uiPriority w:val="30"/>
    <w:qFormat/>
    <w:rsid w:val="003D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739C"/>
    <w:rPr>
      <w:i/>
      <w:iCs/>
      <w:color w:val="0F4761" w:themeColor="accent1" w:themeShade="BF"/>
    </w:rPr>
  </w:style>
  <w:style w:type="character" w:styleId="RefernciaIntensa">
    <w:name w:val="Intense Reference"/>
    <w:basedOn w:val="Fontepargpadro"/>
    <w:uiPriority w:val="32"/>
    <w:qFormat/>
    <w:rsid w:val="003D739C"/>
    <w:rPr>
      <w:b/>
      <w:bCs/>
      <w:smallCaps/>
      <w:color w:val="0F4761" w:themeColor="accent1" w:themeShade="BF"/>
      <w:spacing w:val="5"/>
    </w:rPr>
  </w:style>
  <w:style w:type="paragraph" w:customStyle="1" w:styleId="MaiconTtulo">
    <w:name w:val="Maicon Título"/>
    <w:basedOn w:val="Normal"/>
    <w:link w:val="MaiconTtuloChar"/>
    <w:qFormat/>
    <w:rsid w:val="003D739C"/>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3D739C"/>
    <w:rPr>
      <w:rFonts w:ascii="Garamond" w:eastAsia="Times New Roman" w:hAnsi="Garamond" w:cs="Times New Roman"/>
      <w:b/>
      <w:bCs/>
      <w:kern w:val="0"/>
      <w:sz w:val="24"/>
      <w:szCs w:val="24"/>
      <w:lang w:eastAsia="pt-BR"/>
      <w14:ligatures w14:val="none"/>
    </w:r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3D739C"/>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3D739C"/>
    <w:rPr>
      <w:kern w:val="0"/>
      <w:sz w:val="20"/>
      <w:szCs w:val="20"/>
      <w14:ligatures w14:val="none"/>
    </w:rPr>
  </w:style>
  <w:style w:type="character" w:styleId="Refdenotaderodap">
    <w:name w:val="footnote reference"/>
    <w:aliases w:val="Stinking Styles13,sobrescrito"/>
    <w:basedOn w:val="Fontepargpadro"/>
    <w:uiPriority w:val="99"/>
    <w:unhideWhenUsed/>
    <w:qFormat/>
    <w:rsid w:val="003D739C"/>
    <w:rPr>
      <w:vertAlign w:val="superscript"/>
    </w:rPr>
  </w:style>
  <w:style w:type="character" w:styleId="Hyperlink">
    <w:name w:val="Hyperlink"/>
    <w:basedOn w:val="Fontepargpadro"/>
    <w:uiPriority w:val="99"/>
    <w:unhideWhenUsed/>
    <w:qFormat/>
    <w:rsid w:val="003D739C"/>
    <w:rPr>
      <w:color w:val="467886" w:themeColor="hyperlink"/>
      <w:u w:val="single"/>
    </w:rPr>
  </w:style>
  <w:style w:type="character" w:styleId="MenoPendente">
    <w:name w:val="Unresolved Mention"/>
    <w:basedOn w:val="Fontepargpadro"/>
    <w:uiPriority w:val="99"/>
    <w:semiHidden/>
    <w:unhideWhenUsed/>
    <w:rsid w:val="003D739C"/>
    <w:rPr>
      <w:color w:val="605E5C"/>
      <w:shd w:val="clear" w:color="auto" w:fill="E1DFDD"/>
    </w:rPr>
  </w:style>
  <w:style w:type="paragraph" w:styleId="Cabealho">
    <w:name w:val="header"/>
    <w:basedOn w:val="Normal"/>
    <w:link w:val="CabealhoChar"/>
    <w:uiPriority w:val="99"/>
    <w:unhideWhenUsed/>
    <w:qFormat/>
    <w:rsid w:val="003D739C"/>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3D739C"/>
    <w:rPr>
      <w:kern w:val="0"/>
      <w14:ligatures w14:val="none"/>
    </w:rPr>
  </w:style>
  <w:style w:type="paragraph" w:styleId="Rodap">
    <w:name w:val="footer"/>
    <w:basedOn w:val="Normal"/>
    <w:link w:val="RodapChar"/>
    <w:uiPriority w:val="99"/>
    <w:unhideWhenUsed/>
    <w:qFormat/>
    <w:rsid w:val="003D739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D739C"/>
    <w:rPr>
      <w:kern w:val="0"/>
      <w14:ligatures w14:val="none"/>
    </w:rPr>
  </w:style>
  <w:style w:type="table" w:styleId="Tabelacomgrade">
    <w:name w:val="Table Grid"/>
    <w:basedOn w:val="Tabelanormal"/>
    <w:uiPriority w:val="39"/>
    <w:qFormat/>
    <w:rsid w:val="003D73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3D739C"/>
    <w:pPr>
      <w:spacing w:before="240" w:after="0"/>
      <w:outlineLvl w:val="9"/>
    </w:pPr>
    <w:rPr>
      <w:sz w:val="32"/>
      <w:szCs w:val="32"/>
      <w:lang w:eastAsia="pt-BR"/>
    </w:rPr>
  </w:style>
  <w:style w:type="paragraph" w:styleId="Sumrio1">
    <w:name w:val="toc 1"/>
    <w:basedOn w:val="Normal"/>
    <w:next w:val="Normal"/>
    <w:autoRedefine/>
    <w:uiPriority w:val="39"/>
    <w:unhideWhenUsed/>
    <w:qFormat/>
    <w:rsid w:val="003D739C"/>
    <w:pPr>
      <w:tabs>
        <w:tab w:val="right" w:leader="dot" w:pos="9061"/>
      </w:tabs>
      <w:spacing w:after="100"/>
      <w:jc w:val="both"/>
    </w:pPr>
    <w:rPr>
      <w:rFonts w:ascii="Arial" w:hAnsi="Arial" w:cs="Arial"/>
      <w:b/>
      <w:bCs/>
      <w:noProof/>
      <w:color w:val="156082" w:themeColor="accent1"/>
      <w:sz w:val="24"/>
      <w:szCs w:val="24"/>
    </w:rPr>
  </w:style>
  <w:style w:type="paragraph" w:styleId="Sumrio2">
    <w:name w:val="toc 2"/>
    <w:basedOn w:val="Normal"/>
    <w:next w:val="Normal"/>
    <w:autoRedefine/>
    <w:uiPriority w:val="39"/>
    <w:unhideWhenUsed/>
    <w:qFormat/>
    <w:rsid w:val="003D739C"/>
    <w:pPr>
      <w:tabs>
        <w:tab w:val="left" w:pos="567"/>
        <w:tab w:val="right" w:leader="dot" w:pos="9061"/>
      </w:tabs>
      <w:spacing w:after="100"/>
      <w:jc w:val="both"/>
    </w:pPr>
    <w:rPr>
      <w:rFonts w:ascii="Arial" w:hAnsi="Arial" w:cs="Arial"/>
      <w:b/>
      <w:bCs/>
      <w:noProof/>
      <w:color w:val="156082" w:themeColor="accent1"/>
      <w:sz w:val="24"/>
      <w:szCs w:val="24"/>
    </w:rPr>
  </w:style>
  <w:style w:type="paragraph" w:styleId="Sumrio3">
    <w:name w:val="toc 3"/>
    <w:basedOn w:val="Normal"/>
    <w:next w:val="Normal"/>
    <w:autoRedefine/>
    <w:uiPriority w:val="39"/>
    <w:unhideWhenUsed/>
    <w:qFormat/>
    <w:rsid w:val="003D739C"/>
    <w:pPr>
      <w:spacing w:after="100"/>
      <w:ind w:left="440"/>
    </w:pPr>
  </w:style>
  <w:style w:type="paragraph" w:styleId="Sumrio4">
    <w:name w:val="toc 4"/>
    <w:basedOn w:val="Normal"/>
    <w:next w:val="Normal"/>
    <w:autoRedefine/>
    <w:uiPriority w:val="39"/>
    <w:unhideWhenUsed/>
    <w:qFormat/>
    <w:rsid w:val="003D739C"/>
    <w:pPr>
      <w:spacing w:after="100"/>
      <w:ind w:left="660"/>
    </w:pPr>
    <w:rPr>
      <w:rFonts w:eastAsiaTheme="minorEastAsia"/>
      <w:lang w:eastAsia="pt-BR"/>
    </w:rPr>
  </w:style>
  <w:style w:type="table" w:customStyle="1" w:styleId="NormalTable0">
    <w:name w:val="Normal Table0"/>
    <w:uiPriority w:val="2"/>
    <w:semiHidden/>
    <w:unhideWhenUsed/>
    <w:qFormat/>
    <w:rsid w:val="003D739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D739C"/>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D739C"/>
    <w:rPr>
      <w:rFonts w:ascii="Calibri" w:eastAsia="Calibri" w:hAnsi="Calibri" w:cs="Calibri"/>
      <w:kern w:val="0"/>
      <w:lang w:val="pt-PT"/>
      <w14:ligatures w14:val="none"/>
    </w:rPr>
  </w:style>
  <w:style w:type="paragraph" w:customStyle="1" w:styleId="TableParagraph">
    <w:name w:val="Table Paragraph"/>
    <w:basedOn w:val="Normal"/>
    <w:uiPriority w:val="1"/>
    <w:qFormat/>
    <w:rsid w:val="003D739C"/>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D739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3D739C"/>
    <w:pPr>
      <w:spacing w:after="100"/>
      <w:ind w:left="880"/>
    </w:pPr>
    <w:rPr>
      <w:rFonts w:eastAsiaTheme="minorEastAsia"/>
      <w:lang w:eastAsia="pt-BR"/>
    </w:rPr>
  </w:style>
  <w:style w:type="paragraph" w:styleId="Sumrio6">
    <w:name w:val="toc 6"/>
    <w:basedOn w:val="Normal"/>
    <w:next w:val="Normal"/>
    <w:autoRedefine/>
    <w:uiPriority w:val="39"/>
    <w:unhideWhenUsed/>
    <w:qFormat/>
    <w:rsid w:val="003D739C"/>
    <w:pPr>
      <w:spacing w:after="100"/>
      <w:ind w:left="1100"/>
    </w:pPr>
    <w:rPr>
      <w:rFonts w:eastAsiaTheme="minorEastAsia"/>
      <w:lang w:eastAsia="pt-BR"/>
    </w:rPr>
  </w:style>
  <w:style w:type="paragraph" w:styleId="Sumrio7">
    <w:name w:val="toc 7"/>
    <w:basedOn w:val="Normal"/>
    <w:next w:val="Normal"/>
    <w:autoRedefine/>
    <w:uiPriority w:val="39"/>
    <w:unhideWhenUsed/>
    <w:qFormat/>
    <w:rsid w:val="003D739C"/>
    <w:pPr>
      <w:spacing w:after="100"/>
      <w:ind w:left="1320"/>
    </w:pPr>
    <w:rPr>
      <w:rFonts w:eastAsiaTheme="minorEastAsia"/>
      <w:lang w:eastAsia="pt-BR"/>
    </w:rPr>
  </w:style>
  <w:style w:type="paragraph" w:styleId="Sumrio8">
    <w:name w:val="toc 8"/>
    <w:basedOn w:val="Normal"/>
    <w:next w:val="Normal"/>
    <w:autoRedefine/>
    <w:uiPriority w:val="39"/>
    <w:unhideWhenUsed/>
    <w:qFormat/>
    <w:rsid w:val="003D739C"/>
    <w:pPr>
      <w:spacing w:after="100"/>
      <w:ind w:left="1540"/>
    </w:pPr>
    <w:rPr>
      <w:rFonts w:eastAsiaTheme="minorEastAsia"/>
      <w:lang w:eastAsia="pt-BR"/>
    </w:rPr>
  </w:style>
  <w:style w:type="paragraph" w:styleId="Sumrio9">
    <w:name w:val="toc 9"/>
    <w:basedOn w:val="Normal"/>
    <w:next w:val="Normal"/>
    <w:autoRedefine/>
    <w:uiPriority w:val="39"/>
    <w:unhideWhenUsed/>
    <w:qFormat/>
    <w:rsid w:val="003D739C"/>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3D739C"/>
    <w:rPr>
      <w:sz w:val="16"/>
      <w:szCs w:val="16"/>
    </w:rPr>
  </w:style>
  <w:style w:type="paragraph" w:styleId="Textodecomentrio">
    <w:name w:val="annotation text"/>
    <w:basedOn w:val="Normal"/>
    <w:link w:val="TextodecomentrioChar"/>
    <w:uiPriority w:val="99"/>
    <w:unhideWhenUsed/>
    <w:qFormat/>
    <w:rsid w:val="003D739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3D739C"/>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qFormat/>
    <w:rsid w:val="003D739C"/>
    <w:rPr>
      <w:b/>
      <w:bCs/>
    </w:rPr>
  </w:style>
  <w:style w:type="character" w:customStyle="1" w:styleId="AssuntodocomentrioChar">
    <w:name w:val="Assunto do comentário Char"/>
    <w:basedOn w:val="TextodecomentrioChar"/>
    <w:link w:val="Assuntodocomentrio"/>
    <w:uiPriority w:val="99"/>
    <w:semiHidden/>
    <w:qFormat/>
    <w:rsid w:val="003D739C"/>
    <w:rPr>
      <w:b/>
      <w:bCs/>
      <w:kern w:val="0"/>
      <w:sz w:val="20"/>
      <w:szCs w:val="20"/>
      <w14:ligatures w14:val="none"/>
    </w:rPr>
  </w:style>
  <w:style w:type="paragraph" w:styleId="Reviso">
    <w:name w:val="Revision"/>
    <w:hidden/>
    <w:uiPriority w:val="99"/>
    <w:rsid w:val="003D739C"/>
    <w:pPr>
      <w:spacing w:after="0" w:line="240" w:lineRule="auto"/>
    </w:pPr>
    <w:rPr>
      <w:kern w:val="0"/>
      <w14:ligatures w14:val="none"/>
    </w:rPr>
  </w:style>
  <w:style w:type="paragraph" w:customStyle="1" w:styleId="Standard">
    <w:name w:val="Standard"/>
    <w:qFormat/>
    <w:rsid w:val="003D739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Standarduser">
    <w:name w:val="Standard (user)"/>
    <w:qFormat/>
    <w:rsid w:val="003D739C"/>
    <w:pPr>
      <w:suppressAutoHyphens/>
      <w:autoSpaceDN w:val="0"/>
      <w:spacing w:after="0" w:line="276" w:lineRule="auto"/>
      <w:textAlignment w:val="baseline"/>
    </w:pPr>
    <w:rPr>
      <w:rFonts w:ascii="Arial" w:eastAsia="Arial" w:hAnsi="Arial" w:cs="Arial"/>
      <w:color w:val="000000"/>
      <w:kern w:val="3"/>
      <w:lang w:eastAsia="pt-BR" w:bidi="hi-IN"/>
      <w14:ligatures w14:val="none"/>
    </w:rPr>
  </w:style>
  <w:style w:type="character" w:customStyle="1" w:styleId="Fontepargpadro1">
    <w:name w:val="Fonte parág. padrão1"/>
    <w:qFormat/>
    <w:rsid w:val="003D739C"/>
  </w:style>
  <w:style w:type="character" w:customStyle="1" w:styleId="normaltextrun">
    <w:name w:val="normaltextrun"/>
    <w:basedOn w:val="Fontepargpadro"/>
    <w:qFormat/>
    <w:rsid w:val="003D739C"/>
  </w:style>
  <w:style w:type="paragraph" w:customStyle="1" w:styleId="Default">
    <w:name w:val="Default"/>
    <w:qFormat/>
    <w:rsid w:val="003D739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egenda">
    <w:name w:val="caption"/>
    <w:aliases w:val="Legendas,quadro,figura"/>
    <w:basedOn w:val="Normal"/>
    <w:next w:val="Normal"/>
    <w:link w:val="LegendaChar"/>
    <w:uiPriority w:val="35"/>
    <w:unhideWhenUsed/>
    <w:qFormat/>
    <w:rsid w:val="003D739C"/>
    <w:pPr>
      <w:spacing w:after="200" w:line="240" w:lineRule="auto"/>
    </w:pPr>
    <w:rPr>
      <w:i/>
      <w:iCs/>
      <w:color w:val="0E2841" w:themeColor="text2"/>
      <w:sz w:val="18"/>
      <w:szCs w:val="18"/>
    </w:rPr>
  </w:style>
  <w:style w:type="character" w:customStyle="1" w:styleId="PargrafodaListaChar">
    <w:name w:val="Parágrafo da Lista Char"/>
    <w:basedOn w:val="Fontepargpadro"/>
    <w:link w:val="PargrafodaLista"/>
    <w:uiPriority w:val="34"/>
    <w:qFormat/>
    <w:rsid w:val="003D739C"/>
  </w:style>
  <w:style w:type="table" w:styleId="TabeladeGrade3">
    <w:name w:val="Grid Table 3"/>
    <w:basedOn w:val="Tabelanormal"/>
    <w:uiPriority w:val="48"/>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D739C"/>
    <w:rPr>
      <w:i/>
      <w:iCs/>
      <w:color w:val="0E2841" w:themeColor="text2"/>
      <w:kern w:val="0"/>
      <w:sz w:val="18"/>
      <w:szCs w:val="18"/>
      <w14:ligatures w14:val="none"/>
    </w:rPr>
  </w:style>
  <w:style w:type="table" w:styleId="TabeladeGrade5Escura-nfase3">
    <w:name w:val="Grid Table 5 Dark Accent 3"/>
    <w:basedOn w:val="Tabelanormal"/>
    <w:uiPriority w:val="50"/>
    <w:rsid w:val="003D739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eladeGrade4">
    <w:name w:val="Grid Table 4"/>
    <w:basedOn w:val="Tabelanormal"/>
    <w:uiPriority w:val="49"/>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3D739C"/>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3D739C"/>
    <w:rPr>
      <w:rFonts w:ascii="Arial" w:hAnsi="Arial" w:cs="Arial"/>
      <w:kern w:val="0"/>
      <w:sz w:val="24"/>
      <w14:ligatures w14:val="none"/>
    </w:rPr>
  </w:style>
  <w:style w:type="paragraph" w:customStyle="1" w:styleId="ParPadro">
    <w:name w:val="ParPadrão"/>
    <w:basedOn w:val="Normal"/>
    <w:qFormat/>
    <w:rsid w:val="003D739C"/>
    <w:pPr>
      <w:spacing w:before="120" w:after="240" w:line="276" w:lineRule="auto"/>
      <w:ind w:firstLine="567"/>
      <w:jc w:val="both"/>
    </w:pPr>
    <w:rPr>
      <w:sz w:val="24"/>
    </w:rPr>
  </w:style>
  <w:style w:type="table" w:styleId="TabeladeGrade4-nfase3">
    <w:name w:val="Grid Table 4 Accent 3"/>
    <w:basedOn w:val="Tabelanormal"/>
    <w:uiPriority w:val="49"/>
    <w:rsid w:val="003D739C"/>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iperlinkVisitado">
    <w:name w:val="FollowedHyperlink"/>
    <w:basedOn w:val="Fontepargpadro"/>
    <w:uiPriority w:val="99"/>
    <w:semiHidden/>
    <w:unhideWhenUsed/>
    <w:qFormat/>
    <w:rsid w:val="003D739C"/>
    <w:rPr>
      <w:color w:val="96607D" w:themeColor="followedHyperlink"/>
      <w:u w:val="single"/>
    </w:rPr>
  </w:style>
  <w:style w:type="character" w:customStyle="1" w:styleId="MenoPendente1">
    <w:name w:val="Menção Pendente1"/>
    <w:basedOn w:val="Fontepargpadro"/>
    <w:uiPriority w:val="99"/>
    <w:semiHidden/>
    <w:unhideWhenUsed/>
    <w:qFormat/>
    <w:rsid w:val="003D739C"/>
    <w:rPr>
      <w:color w:val="605E5C"/>
      <w:shd w:val="clear" w:color="auto" w:fill="E1DFDD"/>
    </w:rPr>
  </w:style>
  <w:style w:type="paragraph" w:customStyle="1" w:styleId="CabealhodoSumrio1">
    <w:name w:val="Cabeçalho do Sumário1"/>
    <w:basedOn w:val="Ttulo1"/>
    <w:next w:val="Normal"/>
    <w:uiPriority w:val="39"/>
    <w:unhideWhenUsed/>
    <w:qFormat/>
    <w:rsid w:val="003D739C"/>
    <w:pPr>
      <w:spacing w:before="240" w:after="0"/>
      <w:outlineLvl w:val="9"/>
    </w:pPr>
    <w:rPr>
      <w:sz w:val="32"/>
      <w:szCs w:val="32"/>
      <w:lang w:eastAsia="pt-BR"/>
    </w:rPr>
  </w:style>
  <w:style w:type="paragraph" w:customStyle="1" w:styleId="Reviso1">
    <w:name w:val="Revisão1"/>
    <w:hidden/>
    <w:uiPriority w:val="99"/>
    <w:semiHidden/>
    <w:qFormat/>
    <w:rsid w:val="003D739C"/>
    <w:pPr>
      <w:spacing w:after="0" w:line="240" w:lineRule="auto"/>
    </w:pPr>
    <w:rPr>
      <w:kern w:val="0"/>
      <w14:ligatures w14:val="none"/>
    </w:rPr>
  </w:style>
  <w:style w:type="table" w:customStyle="1" w:styleId="TabeladeGrade31">
    <w:name w:val="Tabela de Grade 31"/>
    <w:basedOn w:val="Tabelanormal"/>
    <w:uiPriority w:val="48"/>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eladeGrade41">
    <w:name w:val="Tabela de Grade 4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msonormal0">
    <w:name w:val="msonormal"/>
    <w:basedOn w:val="Normal"/>
    <w:qFormat/>
    <w:rsid w:val="003D73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3D739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3D739C"/>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3D7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3D739C"/>
    <w:rPr>
      <w:color w:val="2B579A"/>
      <w:shd w:val="clear" w:color="auto" w:fill="E1DFDD"/>
    </w:rPr>
  </w:style>
  <w:style w:type="table" w:customStyle="1" w:styleId="TabeladeGrade2-nfase31">
    <w:name w:val="Tabela de Grade 2 - Ênfase 31"/>
    <w:basedOn w:val="Tabelanormal"/>
    <w:uiPriority w:val="47"/>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elaSimples51">
    <w:name w:val="Tabela Simples 51"/>
    <w:basedOn w:val="Tabelanormal"/>
    <w:uiPriority w:val="45"/>
    <w:qFormat/>
    <w:rsid w:val="003D739C"/>
    <w:pPr>
      <w:spacing w:after="0" w:line="240" w:lineRule="auto"/>
    </w:pPr>
    <w:rPr>
      <w:rFonts w:ascii="Times New Roman" w:eastAsia="SimSun" w:hAnsi="Times New Roman" w:cs="Times New Roman"/>
      <w:kern w:val="0"/>
      <w:sz w:val="20"/>
      <w:szCs w:val="20"/>
      <w:lang w:eastAsia="pt-BR"/>
      <w14:ligatures w14:val="none"/>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3D739C"/>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3D739C"/>
    <w:rPr>
      <w:rFonts w:ascii="Arial" w:hAnsi="Arial" w:cs="Arial"/>
      <w:color w:val="000000" w:themeColor="text1"/>
      <w:kern w:val="0"/>
      <w:sz w:val="20"/>
      <w:szCs w:val="20"/>
      <w14:ligatures w14:val="none"/>
    </w:rPr>
  </w:style>
  <w:style w:type="character" w:styleId="TextodoEspaoReservado">
    <w:name w:val="Placeholder Text"/>
    <w:basedOn w:val="Fontepargpadro"/>
    <w:uiPriority w:val="99"/>
    <w:semiHidden/>
    <w:qFormat/>
    <w:rsid w:val="003D739C"/>
    <w:rPr>
      <w:color w:val="808080"/>
    </w:rPr>
  </w:style>
  <w:style w:type="character" w:customStyle="1" w:styleId="MenoPendente2">
    <w:name w:val="Menção Pendente2"/>
    <w:basedOn w:val="Fontepargpadro"/>
    <w:uiPriority w:val="99"/>
    <w:semiHidden/>
    <w:unhideWhenUsed/>
    <w:qFormat/>
    <w:rsid w:val="003D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33D5D-5CC7-4A6F-9A01-CA13BAF8ED76}">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2.xml><?xml version="1.0" encoding="utf-8"?>
<ds:datastoreItem xmlns:ds="http://schemas.openxmlformats.org/officeDocument/2006/customXml" ds:itemID="{A729BAEA-94FC-4633-98BE-D2EC1AB280DC}">
  <ds:schemaRefs>
    <ds:schemaRef ds:uri="http://schemas.microsoft.com/sharepoint/v3/contenttype/forms"/>
  </ds:schemaRefs>
</ds:datastoreItem>
</file>

<file path=customXml/itemProps3.xml><?xml version="1.0" encoding="utf-8"?>
<ds:datastoreItem xmlns:ds="http://schemas.openxmlformats.org/officeDocument/2006/customXml" ds:itemID="{B84CF5FE-9CB5-4A21-A9F0-7AB5CF90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4077</Words>
  <Characters>22017</Characters>
  <Application>Microsoft Office Word</Application>
  <DocSecurity>0</DocSecurity>
  <Lines>183</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 S. Requi de Souza</dc:creator>
  <cp:keywords/>
  <dc:description/>
  <cp:lastModifiedBy>Érica Miranda dos Santos  Requi de Souza</cp:lastModifiedBy>
  <cp:revision>2</cp:revision>
  <dcterms:created xsi:type="dcterms:W3CDTF">2025-02-25T13:29:00Z</dcterms:created>
  <dcterms:modified xsi:type="dcterms:W3CDTF">2025-02-25T13:29:00Z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